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054AD" w14:textId="1CBABFA1" w:rsidR="006F3D67" w:rsidRPr="00D53E20" w:rsidRDefault="00001199" w:rsidP="008F136B">
      <w:pPr>
        <w:pStyle w:val="Title"/>
        <w:jc w:val="left"/>
        <w:rPr>
          <w:rFonts w:ascii="Roboto" w:hAnsi="Roboto"/>
        </w:rPr>
      </w:pPr>
      <w:r w:rsidRPr="00D53E20">
        <w:rPr>
          <w:rFonts w:ascii="Roboto" w:hAnsi="Roboto"/>
        </w:rPr>
        <w:t>Clarification</w:t>
      </w:r>
      <w:r w:rsidR="00A13A72" w:rsidRPr="00D53E20">
        <w:rPr>
          <w:rFonts w:ascii="Roboto" w:hAnsi="Roboto"/>
        </w:rPr>
        <w:t>s</w:t>
      </w:r>
      <w:r w:rsidR="008F136B" w:rsidRPr="00D53E20">
        <w:rPr>
          <w:rFonts w:ascii="Roboto" w:hAnsi="Roboto"/>
        </w:rPr>
        <w:t xml:space="preserve"> </w:t>
      </w:r>
      <w:r w:rsidR="00DE7BD7" w:rsidRPr="00D53E20">
        <w:rPr>
          <w:rFonts w:ascii="Roboto" w:hAnsi="Roboto"/>
        </w:rPr>
        <w:t>2</w:t>
      </w:r>
      <w:r w:rsidR="00902A9B" w:rsidRPr="00D53E20">
        <w:rPr>
          <w:rFonts w:ascii="Roboto" w:hAnsi="Roboto"/>
        </w:rPr>
        <w:t xml:space="preserve">. </w:t>
      </w:r>
    </w:p>
    <w:p w14:paraId="331D54CE" w14:textId="579094EB" w:rsidR="006F3D67" w:rsidRPr="00D53E20" w:rsidRDefault="00F26FF3" w:rsidP="008F136B">
      <w:pPr>
        <w:pStyle w:val="Title"/>
        <w:jc w:val="left"/>
        <w:rPr>
          <w:rFonts w:ascii="Roboto" w:hAnsi="Roboto"/>
          <w:sz w:val="24"/>
          <w:szCs w:val="24"/>
        </w:rPr>
      </w:pPr>
      <w:r w:rsidRPr="00D53E20">
        <w:rPr>
          <w:rFonts w:ascii="Roboto" w:hAnsi="Roboto"/>
          <w:sz w:val="24"/>
          <w:szCs w:val="24"/>
        </w:rPr>
        <w:t xml:space="preserve">Request for </w:t>
      </w:r>
      <w:r w:rsidR="00A13A72" w:rsidRPr="00D53E20">
        <w:rPr>
          <w:rFonts w:ascii="Roboto" w:hAnsi="Roboto"/>
          <w:sz w:val="24"/>
          <w:szCs w:val="24"/>
        </w:rPr>
        <w:t>tender</w:t>
      </w:r>
      <w:r w:rsidRPr="00D53E20">
        <w:rPr>
          <w:rFonts w:ascii="Roboto" w:hAnsi="Roboto"/>
          <w:sz w:val="24"/>
          <w:szCs w:val="24"/>
        </w:rPr>
        <w:t xml:space="preserve"> </w:t>
      </w:r>
      <w:r w:rsidR="00A13A72" w:rsidRPr="00D53E20">
        <w:rPr>
          <w:rFonts w:ascii="Roboto" w:hAnsi="Roboto"/>
          <w:sz w:val="24"/>
          <w:szCs w:val="24"/>
        </w:rPr>
        <w:t>–</w:t>
      </w:r>
      <w:r w:rsidR="008F136B" w:rsidRPr="00D53E20">
        <w:rPr>
          <w:rFonts w:ascii="Roboto" w:hAnsi="Roboto"/>
          <w:sz w:val="24"/>
          <w:szCs w:val="24"/>
        </w:rPr>
        <w:t xml:space="preserve"> </w:t>
      </w:r>
      <w:r w:rsidR="002E1FED" w:rsidRPr="00D53E20">
        <w:rPr>
          <w:rFonts w:ascii="Roboto" w:hAnsi="Roboto"/>
          <w:sz w:val="24"/>
          <w:szCs w:val="24"/>
        </w:rPr>
        <w:t>Website Development Services</w:t>
      </w:r>
    </w:p>
    <w:tbl>
      <w:tblPr>
        <w:tblStyle w:val="TableGrid"/>
        <w:tblW w:w="14879" w:type="dxa"/>
        <w:tblBorders>
          <w:insideH w:val="single" w:sz="6" w:space="0" w:color="auto"/>
          <w:insideV w:val="single" w:sz="6" w:space="0" w:color="auto"/>
        </w:tblBorders>
        <w:tblLook w:val="04A0" w:firstRow="1" w:lastRow="0" w:firstColumn="1" w:lastColumn="0" w:noHBand="0" w:noVBand="1"/>
      </w:tblPr>
      <w:tblGrid>
        <w:gridCol w:w="1310"/>
        <w:gridCol w:w="6340"/>
        <w:gridCol w:w="7229"/>
      </w:tblGrid>
      <w:tr w:rsidR="00D12CEE" w:rsidRPr="00D53E20" w14:paraId="53E0A250" w14:textId="77777777" w:rsidTr="006D0A57">
        <w:trPr>
          <w:trHeight w:val="595"/>
          <w:tblHeader/>
        </w:trPr>
        <w:tc>
          <w:tcPr>
            <w:tcW w:w="1310" w:type="dxa"/>
            <w:shd w:val="clear" w:color="auto" w:fill="D9D9D9" w:themeFill="background1" w:themeFillShade="D9"/>
            <w:vAlign w:val="center"/>
          </w:tcPr>
          <w:p w14:paraId="074B2227" w14:textId="56DCD76C" w:rsidR="00D12CEE" w:rsidRPr="00D53E20" w:rsidRDefault="00D12CEE" w:rsidP="00DB5025">
            <w:pPr>
              <w:pStyle w:val="Tableheading"/>
              <w:rPr>
                <w:rFonts w:ascii="Roboto" w:hAnsi="Roboto"/>
              </w:rPr>
            </w:pPr>
            <w:r w:rsidRPr="00D53E20">
              <w:rPr>
                <w:rFonts w:ascii="Roboto" w:hAnsi="Roboto"/>
              </w:rPr>
              <w:t>Reference</w:t>
            </w:r>
          </w:p>
        </w:tc>
        <w:tc>
          <w:tcPr>
            <w:tcW w:w="6340" w:type="dxa"/>
            <w:shd w:val="clear" w:color="auto" w:fill="D9D9D9" w:themeFill="background1" w:themeFillShade="D9"/>
            <w:vAlign w:val="center"/>
          </w:tcPr>
          <w:p w14:paraId="6869F84C" w14:textId="11BE819B" w:rsidR="00D12CEE" w:rsidRPr="00D53E20" w:rsidRDefault="004C5018" w:rsidP="00DB5025">
            <w:pPr>
              <w:pStyle w:val="Tableheading"/>
              <w:rPr>
                <w:rFonts w:ascii="Roboto" w:hAnsi="Roboto"/>
              </w:rPr>
            </w:pPr>
            <w:r w:rsidRPr="00D53E20">
              <w:rPr>
                <w:rFonts w:ascii="Roboto" w:hAnsi="Roboto"/>
              </w:rPr>
              <w:t>QUESTION</w:t>
            </w:r>
          </w:p>
        </w:tc>
        <w:tc>
          <w:tcPr>
            <w:tcW w:w="7229" w:type="dxa"/>
            <w:shd w:val="clear" w:color="auto" w:fill="D9D9D9" w:themeFill="background1" w:themeFillShade="D9"/>
            <w:vAlign w:val="center"/>
          </w:tcPr>
          <w:p w14:paraId="44677C69" w14:textId="182D2A3B" w:rsidR="00D12CEE" w:rsidRPr="00D53E20" w:rsidRDefault="00001199" w:rsidP="00DB5025">
            <w:pPr>
              <w:pStyle w:val="Tableheading"/>
              <w:rPr>
                <w:rFonts w:ascii="Roboto" w:hAnsi="Roboto"/>
              </w:rPr>
            </w:pPr>
            <w:r w:rsidRPr="00D53E20">
              <w:rPr>
                <w:rFonts w:ascii="Roboto" w:hAnsi="Roboto"/>
              </w:rPr>
              <w:t>CLARIFICATION</w:t>
            </w:r>
          </w:p>
        </w:tc>
      </w:tr>
      <w:tr w:rsidR="006639B0" w:rsidRPr="00D53E20" w14:paraId="44F8649E" w14:textId="77777777" w:rsidTr="16CE41F3">
        <w:trPr>
          <w:trHeight w:val="446"/>
        </w:trPr>
        <w:tc>
          <w:tcPr>
            <w:tcW w:w="1310" w:type="dxa"/>
            <w:shd w:val="clear" w:color="auto" w:fill="FFFFFF" w:themeFill="background1"/>
            <w:vAlign w:val="center"/>
          </w:tcPr>
          <w:p w14:paraId="40A2A6D5" w14:textId="21513C3F" w:rsidR="006639B0" w:rsidRPr="00CA7CE7" w:rsidRDefault="006639B0" w:rsidP="00CA7CE7">
            <w:pPr>
              <w:pStyle w:val="ListParagraph"/>
              <w:numPr>
                <w:ilvl w:val="0"/>
                <w:numId w:val="10"/>
              </w:numPr>
              <w:spacing w:after="0"/>
              <w:rPr>
                <w:rFonts w:ascii="Roboto" w:hAnsi="Roboto"/>
              </w:rPr>
            </w:pPr>
          </w:p>
        </w:tc>
        <w:tc>
          <w:tcPr>
            <w:tcW w:w="6340" w:type="dxa"/>
            <w:shd w:val="clear" w:color="auto" w:fill="D6E4F5"/>
          </w:tcPr>
          <w:p w14:paraId="3AE704FB" w14:textId="2200F90F" w:rsidR="006C382E" w:rsidRPr="00D53E20" w:rsidRDefault="00500C7A" w:rsidP="00FF3257">
            <w:pPr>
              <w:spacing w:line="278" w:lineRule="auto"/>
              <w:rPr>
                <w:rFonts w:ascii="Roboto" w:hAnsi="Roboto" w:cs="Segoe UI"/>
                <w:color w:val="242424"/>
                <w:sz w:val="23"/>
                <w:szCs w:val="23"/>
              </w:rPr>
            </w:pPr>
            <w:r w:rsidRPr="00D53E20">
              <w:rPr>
                <w:rFonts w:ascii="Roboto" w:hAnsi="Roboto" w:cs="Segoe UI"/>
                <w:color w:val="242424"/>
                <w:sz w:val="23"/>
                <w:szCs w:val="23"/>
              </w:rPr>
              <w:t xml:space="preserve">Could ACARA please clarify </w:t>
            </w:r>
            <w:r w:rsidR="006255CF" w:rsidRPr="00D53E20">
              <w:rPr>
                <w:rFonts w:ascii="Roboto" w:hAnsi="Roboto" w:cs="Segoe UI"/>
                <w:color w:val="242424"/>
                <w:sz w:val="23"/>
                <w:szCs w:val="23"/>
              </w:rPr>
              <w:t>if</w:t>
            </w:r>
            <w:r w:rsidRPr="00D53E20">
              <w:rPr>
                <w:rFonts w:ascii="Roboto" w:hAnsi="Roboto" w:cs="Segoe UI"/>
                <w:color w:val="242424"/>
                <w:sz w:val="23"/>
                <w:szCs w:val="23"/>
              </w:rPr>
              <w:t xml:space="preserve"> Adobe Experience Manager </w:t>
            </w:r>
            <w:r w:rsidR="006C382E" w:rsidRPr="00D53E20">
              <w:rPr>
                <w:rFonts w:ascii="Roboto" w:hAnsi="Roboto" w:cs="Segoe UI"/>
                <w:color w:val="242424"/>
                <w:sz w:val="23"/>
                <w:szCs w:val="23"/>
              </w:rPr>
              <w:t>expertise is required?</w:t>
            </w:r>
            <w:r w:rsidR="005E6E85" w:rsidRPr="00D53E20">
              <w:rPr>
                <w:rFonts w:ascii="Roboto" w:hAnsi="Roboto" w:cs="Segoe UI"/>
                <w:color w:val="242424"/>
                <w:sz w:val="23"/>
                <w:szCs w:val="23"/>
              </w:rPr>
              <w:t xml:space="preserve"> </w:t>
            </w:r>
          </w:p>
        </w:tc>
        <w:tc>
          <w:tcPr>
            <w:tcW w:w="7229" w:type="dxa"/>
            <w:vAlign w:val="center"/>
          </w:tcPr>
          <w:p w14:paraId="07800B59" w14:textId="6508F9F0" w:rsidR="006639B0" w:rsidRPr="00D53E20" w:rsidRDefault="05525795" w:rsidP="00953F4D">
            <w:pPr>
              <w:spacing w:line="278" w:lineRule="auto"/>
            </w:pPr>
            <w:r w:rsidRPr="00D53E20">
              <w:rPr>
                <w:rFonts w:ascii="Roboto" w:hAnsi="Roboto" w:cs="Segoe UI"/>
                <w:color w:val="242424"/>
                <w:sz w:val="23"/>
                <w:szCs w:val="23"/>
              </w:rPr>
              <w:t xml:space="preserve">Yes, </w:t>
            </w:r>
            <w:r w:rsidR="544C0E24" w:rsidRPr="00D53E20">
              <w:rPr>
                <w:rFonts w:ascii="Roboto" w:hAnsi="Roboto" w:cs="Segoe UI"/>
                <w:color w:val="242424"/>
                <w:sz w:val="23"/>
                <w:szCs w:val="23"/>
              </w:rPr>
              <w:t>AEM expertise is a core requirement</w:t>
            </w:r>
            <w:r w:rsidR="45FA43B9" w:rsidRPr="00D53E20">
              <w:rPr>
                <w:rFonts w:ascii="Roboto" w:hAnsi="Roboto" w:cs="Segoe UI"/>
                <w:color w:val="242424"/>
                <w:sz w:val="23"/>
                <w:szCs w:val="23"/>
              </w:rPr>
              <w:t xml:space="preserve"> described in the Specifications.</w:t>
            </w:r>
            <w:r w:rsidR="7BFADD50" w:rsidRPr="00D53E20">
              <w:rPr>
                <w:rFonts w:ascii="Roboto" w:hAnsi="Roboto" w:cs="Segoe UI"/>
                <w:color w:val="242424"/>
                <w:sz w:val="23"/>
                <w:szCs w:val="23"/>
              </w:rPr>
              <w:t xml:space="preserve"> </w:t>
            </w:r>
            <w:r w:rsidR="45FA43B9" w:rsidRPr="00D53E20">
              <w:rPr>
                <w:rFonts w:ascii="Roboto" w:hAnsi="Roboto" w:cs="Segoe UI"/>
                <w:color w:val="242424"/>
                <w:sz w:val="23"/>
                <w:szCs w:val="23"/>
              </w:rPr>
              <w:t>T</w:t>
            </w:r>
            <w:r w:rsidRPr="00D53E20">
              <w:rPr>
                <w:rFonts w:ascii="Roboto" w:hAnsi="Roboto" w:cs="Segoe UI"/>
                <w:color w:val="242424"/>
                <w:sz w:val="23"/>
                <w:szCs w:val="23"/>
              </w:rPr>
              <w:t xml:space="preserve">enderers should </w:t>
            </w:r>
            <w:r w:rsidR="2DDBA261" w:rsidRPr="00D53E20">
              <w:rPr>
                <w:rFonts w:ascii="Roboto" w:hAnsi="Roboto" w:cs="Segoe UI"/>
                <w:color w:val="242424"/>
                <w:sz w:val="23"/>
                <w:szCs w:val="23"/>
              </w:rPr>
              <w:t>detail th</w:t>
            </w:r>
            <w:r w:rsidR="45FA43B9" w:rsidRPr="00D53E20">
              <w:rPr>
                <w:rFonts w:ascii="Roboto" w:hAnsi="Roboto" w:cs="Segoe UI"/>
                <w:color w:val="242424"/>
                <w:sz w:val="23"/>
                <w:szCs w:val="23"/>
              </w:rPr>
              <w:t xml:space="preserve">e AEM expertise and experience of their organisation and personnel </w:t>
            </w:r>
            <w:r w:rsidR="2DDBA261" w:rsidRPr="00D53E20">
              <w:rPr>
                <w:rFonts w:ascii="Roboto" w:hAnsi="Roboto" w:cs="Segoe UI"/>
                <w:color w:val="242424"/>
                <w:sz w:val="23"/>
                <w:szCs w:val="23"/>
              </w:rPr>
              <w:t xml:space="preserve">in their tender. Specifically addressing </w:t>
            </w:r>
            <w:r w:rsidR="00ABEFB4" w:rsidRPr="00D53E20">
              <w:rPr>
                <w:rFonts w:ascii="Roboto" w:hAnsi="Roboto" w:cs="Segoe UI"/>
                <w:color w:val="242424"/>
                <w:sz w:val="23"/>
                <w:szCs w:val="23"/>
              </w:rPr>
              <w:t xml:space="preserve">where relevant </w:t>
            </w:r>
            <w:r w:rsidR="2DDBA261" w:rsidRPr="00D53E20">
              <w:rPr>
                <w:rFonts w:ascii="Roboto" w:hAnsi="Roboto" w:cs="Segoe UI"/>
                <w:color w:val="242424"/>
                <w:sz w:val="23"/>
                <w:szCs w:val="23"/>
              </w:rPr>
              <w:t>a</w:t>
            </w:r>
            <w:r w:rsidR="00ABEFB4" w:rsidRPr="00D53E20">
              <w:rPr>
                <w:rFonts w:ascii="Roboto" w:hAnsi="Roboto" w:cs="Segoe UI"/>
                <w:color w:val="242424"/>
                <w:sz w:val="23"/>
                <w:szCs w:val="23"/>
              </w:rPr>
              <w:t>s part of the</w:t>
            </w:r>
            <w:r w:rsidR="223FA993" w:rsidRPr="00D53E20">
              <w:rPr>
                <w:rFonts w:ascii="Roboto" w:hAnsi="Roboto" w:cs="Segoe UI"/>
                <w:color w:val="242424"/>
                <w:sz w:val="23"/>
                <w:szCs w:val="23"/>
              </w:rPr>
              <w:t>ir</w:t>
            </w:r>
            <w:r w:rsidR="00ABEFB4" w:rsidRPr="00D53E20">
              <w:rPr>
                <w:rFonts w:ascii="Roboto" w:hAnsi="Roboto" w:cs="Segoe UI"/>
                <w:color w:val="242424"/>
                <w:sz w:val="23"/>
                <w:szCs w:val="23"/>
              </w:rPr>
              <w:t xml:space="preserve"> responses to</w:t>
            </w:r>
            <w:r w:rsidR="2DDBA261" w:rsidRPr="00D53E20">
              <w:rPr>
                <w:rFonts w:ascii="Roboto" w:hAnsi="Roboto" w:cs="Segoe UI"/>
                <w:color w:val="242424"/>
                <w:sz w:val="23"/>
                <w:szCs w:val="23"/>
              </w:rPr>
              <w:t xml:space="preserve"> Attachment 3</w:t>
            </w:r>
            <w:r w:rsidR="6BA162A6" w:rsidRPr="00D53E20">
              <w:rPr>
                <w:rFonts w:ascii="Roboto" w:hAnsi="Roboto" w:cs="Segoe UI"/>
                <w:color w:val="242424"/>
                <w:sz w:val="23"/>
                <w:szCs w:val="23"/>
              </w:rPr>
              <w:t>, Attachment 4 and Attachment 5</w:t>
            </w:r>
            <w:r w:rsidR="4BF5379F" w:rsidRPr="02A5A4AA">
              <w:rPr>
                <w:rFonts w:ascii="Roboto" w:hAnsi="Roboto" w:cs="Segoe UI"/>
                <w:color w:val="242424"/>
                <w:sz w:val="23"/>
                <w:szCs w:val="23"/>
              </w:rPr>
              <w:t>.</w:t>
            </w:r>
          </w:p>
          <w:p w14:paraId="01011ED0" w14:textId="6DDC1DA0" w:rsidR="006639B0" w:rsidRPr="00D53E20" w:rsidRDefault="006639B0" w:rsidP="02A5A4AA">
            <w:pPr>
              <w:spacing w:line="278" w:lineRule="auto"/>
              <w:rPr>
                <w:rFonts w:ascii="Roboto" w:hAnsi="Roboto" w:cs="Segoe UI"/>
                <w:color w:val="242424"/>
                <w:sz w:val="23"/>
                <w:szCs w:val="23"/>
              </w:rPr>
            </w:pPr>
          </w:p>
          <w:p w14:paraId="4BB6F596" w14:textId="57E5C621" w:rsidR="006639B0" w:rsidRPr="00D53E20" w:rsidRDefault="00192205" w:rsidP="00953F4D">
            <w:pPr>
              <w:spacing w:line="278" w:lineRule="auto"/>
              <w:rPr>
                <w:rFonts w:ascii="Roboto" w:hAnsi="Roboto" w:cs="Segoe UI"/>
                <w:color w:val="242424"/>
                <w:sz w:val="23"/>
                <w:szCs w:val="23"/>
              </w:rPr>
            </w:pPr>
            <w:r w:rsidRPr="00105876">
              <w:rPr>
                <w:rFonts w:ascii="Roboto" w:hAnsi="Roboto" w:cs="Segoe UI"/>
                <w:b/>
                <w:bCs/>
                <w:color w:val="242424"/>
                <w:sz w:val="23"/>
                <w:szCs w:val="23"/>
              </w:rPr>
              <w:t>At</w:t>
            </w:r>
            <w:r w:rsidR="4BF5379F" w:rsidRPr="00105876">
              <w:rPr>
                <w:rFonts w:ascii="Roboto" w:hAnsi="Roboto" w:cs="Segoe UI"/>
                <w:b/>
                <w:bCs/>
                <w:color w:val="242424"/>
                <w:sz w:val="23"/>
                <w:szCs w:val="23"/>
              </w:rPr>
              <w:t xml:space="preserve"> Attachment 4 tenderers</w:t>
            </w:r>
            <w:r w:rsidR="6D910385" w:rsidRPr="00105876">
              <w:rPr>
                <w:rFonts w:ascii="Roboto" w:hAnsi="Roboto" w:cs="Segoe UI"/>
                <w:b/>
                <w:bCs/>
                <w:color w:val="242424"/>
                <w:sz w:val="23"/>
                <w:szCs w:val="23"/>
              </w:rPr>
              <w:t xml:space="preserve"> must </w:t>
            </w:r>
            <w:r w:rsidR="4BF5379F" w:rsidRPr="00105876">
              <w:rPr>
                <w:rFonts w:ascii="Roboto" w:hAnsi="Roboto" w:cs="Segoe UI"/>
                <w:b/>
                <w:bCs/>
                <w:color w:val="242424"/>
                <w:sz w:val="23"/>
                <w:szCs w:val="23"/>
              </w:rPr>
              <w:t xml:space="preserve">describe one or more comparable AEM implementation or migration completed in the past 2 years. State the tenderer’s role, scale, delivery outcomes, accessibility standard achieved, testing undertaken with the </w:t>
            </w:r>
            <w:r w:rsidR="5A262D17" w:rsidRPr="00105876">
              <w:rPr>
                <w:rFonts w:ascii="Roboto" w:hAnsi="Roboto" w:cs="Segoe UI"/>
                <w:b/>
                <w:bCs/>
                <w:color w:val="242424"/>
                <w:sz w:val="23"/>
                <w:szCs w:val="23"/>
              </w:rPr>
              <w:t>current email contact details supplied</w:t>
            </w:r>
            <w:r w:rsidR="4BF5379F" w:rsidRPr="00105876">
              <w:rPr>
                <w:rFonts w:ascii="Roboto" w:hAnsi="Roboto" w:cs="Segoe UI"/>
                <w:b/>
                <w:bCs/>
                <w:color w:val="242424"/>
                <w:sz w:val="23"/>
                <w:szCs w:val="23"/>
              </w:rPr>
              <w:t xml:space="preserve"> </w:t>
            </w:r>
            <w:r w:rsidR="5A262D17" w:rsidRPr="00105876">
              <w:rPr>
                <w:rFonts w:ascii="Roboto" w:hAnsi="Roboto" w:cs="Segoe UI"/>
                <w:b/>
                <w:bCs/>
                <w:color w:val="242424"/>
                <w:sz w:val="23"/>
                <w:szCs w:val="23"/>
              </w:rPr>
              <w:t>for the</w:t>
            </w:r>
            <w:r w:rsidR="4BF5379F" w:rsidRPr="00105876">
              <w:rPr>
                <w:rFonts w:ascii="Roboto" w:hAnsi="Roboto" w:cs="Segoe UI"/>
                <w:b/>
                <w:bCs/>
                <w:color w:val="242424"/>
                <w:sz w:val="23"/>
                <w:szCs w:val="23"/>
              </w:rPr>
              <w:t xml:space="preserve"> client referee</w:t>
            </w:r>
            <w:r w:rsidR="6F899435" w:rsidRPr="00105876">
              <w:rPr>
                <w:rFonts w:ascii="Roboto" w:hAnsi="Roboto" w:cs="Segoe UI"/>
                <w:b/>
                <w:bCs/>
                <w:color w:val="242424"/>
                <w:sz w:val="23"/>
                <w:szCs w:val="23"/>
              </w:rPr>
              <w:t>(s)</w:t>
            </w:r>
            <w:r w:rsidR="4BF5379F" w:rsidRPr="00105876">
              <w:rPr>
                <w:rFonts w:ascii="Roboto" w:hAnsi="Roboto" w:cs="Segoe UI"/>
                <w:b/>
                <w:bCs/>
                <w:color w:val="242424"/>
                <w:sz w:val="23"/>
                <w:szCs w:val="23"/>
              </w:rPr>
              <w:t>.</w:t>
            </w:r>
          </w:p>
        </w:tc>
      </w:tr>
      <w:tr w:rsidR="00851769" w:rsidRPr="00D53E20" w14:paraId="0BCCF2BB" w14:textId="77777777" w:rsidTr="16CE41F3">
        <w:trPr>
          <w:trHeight w:val="446"/>
        </w:trPr>
        <w:tc>
          <w:tcPr>
            <w:tcW w:w="1310" w:type="dxa"/>
            <w:shd w:val="clear" w:color="auto" w:fill="FFFFFF" w:themeFill="background1"/>
            <w:vAlign w:val="center"/>
          </w:tcPr>
          <w:p w14:paraId="2EA2837D" w14:textId="448100D9" w:rsidR="00851769" w:rsidRPr="00CA7CE7" w:rsidRDefault="00851769" w:rsidP="00CA7CE7">
            <w:pPr>
              <w:pStyle w:val="ListParagraph"/>
              <w:numPr>
                <w:ilvl w:val="0"/>
                <w:numId w:val="10"/>
              </w:numPr>
              <w:spacing w:after="0"/>
              <w:rPr>
                <w:rFonts w:ascii="Roboto" w:hAnsi="Roboto"/>
              </w:rPr>
            </w:pPr>
          </w:p>
        </w:tc>
        <w:tc>
          <w:tcPr>
            <w:tcW w:w="6340" w:type="dxa"/>
            <w:shd w:val="clear" w:color="auto" w:fill="D6E4F5"/>
          </w:tcPr>
          <w:p w14:paraId="2B9B2030" w14:textId="17A1B44A" w:rsidR="00851769" w:rsidRPr="00D53E20" w:rsidRDefault="007066DC" w:rsidP="00851769">
            <w:pPr>
              <w:spacing w:line="278" w:lineRule="auto"/>
              <w:rPr>
                <w:rFonts w:ascii="Roboto" w:hAnsi="Roboto" w:cs="Arial"/>
                <w:color w:val="242424"/>
                <w:sz w:val="28"/>
                <w:szCs w:val="28"/>
                <w:shd w:val="clear" w:color="auto" w:fill="FFFFFF"/>
              </w:rPr>
            </w:pPr>
            <w:r w:rsidRPr="00D53E20">
              <w:rPr>
                <w:rFonts w:ascii="Roboto" w:hAnsi="Roboto" w:cs="Segoe UI"/>
                <w:color w:val="242424"/>
                <w:sz w:val="23"/>
                <w:szCs w:val="23"/>
              </w:rPr>
              <w:t xml:space="preserve">We are a PTY company registered in Australia </w:t>
            </w:r>
            <w:r w:rsidR="006639B0" w:rsidRPr="00D53E20">
              <w:rPr>
                <w:rFonts w:ascii="Roboto" w:hAnsi="Roboto" w:cs="Segoe UI"/>
                <w:color w:val="242424"/>
                <w:sz w:val="23"/>
                <w:szCs w:val="23"/>
              </w:rPr>
              <w:t xml:space="preserve">RE: </w:t>
            </w:r>
            <w:r w:rsidR="00234ACF" w:rsidRPr="00D53E20">
              <w:rPr>
                <w:rFonts w:ascii="Roboto" w:hAnsi="Roboto" w:cs="Segoe UI"/>
                <w:color w:val="242424"/>
                <w:sz w:val="23"/>
                <w:szCs w:val="23"/>
              </w:rPr>
              <w:t xml:space="preserve">Delivery location: The rate card provides for onshore and offshore resourcing. Will ACARA accept an offshore and onshore delivery model if offshore access, hosting and subcontracting arrangements are fully disclosed and approved? </w:t>
            </w:r>
          </w:p>
        </w:tc>
        <w:tc>
          <w:tcPr>
            <w:tcW w:w="7229" w:type="dxa"/>
            <w:vAlign w:val="center"/>
          </w:tcPr>
          <w:p w14:paraId="1BF7BABD" w14:textId="6C618AC0" w:rsidR="00851769" w:rsidRPr="00D53E20" w:rsidRDefault="30D19A92" w:rsidP="00953F4D">
            <w:pPr>
              <w:spacing w:line="278" w:lineRule="auto"/>
              <w:rPr>
                <w:rFonts w:ascii="Roboto" w:hAnsi="Roboto" w:cs="Segoe UI"/>
                <w:color w:val="242424"/>
                <w:sz w:val="23"/>
                <w:szCs w:val="23"/>
              </w:rPr>
            </w:pPr>
            <w:r w:rsidRPr="00D53E20">
              <w:rPr>
                <w:rFonts w:ascii="Roboto" w:hAnsi="Roboto" w:cs="Segoe UI"/>
                <w:color w:val="242424"/>
                <w:sz w:val="23"/>
                <w:szCs w:val="23"/>
              </w:rPr>
              <w:t>Yes</w:t>
            </w:r>
            <w:r w:rsidR="381876E1" w:rsidRPr="00D53E20">
              <w:rPr>
                <w:rFonts w:ascii="Roboto" w:hAnsi="Roboto" w:cs="Segoe UI"/>
                <w:color w:val="242424"/>
                <w:sz w:val="23"/>
                <w:szCs w:val="23"/>
              </w:rPr>
              <w:t>.</w:t>
            </w:r>
            <w:r w:rsidR="7D33BFDB" w:rsidRPr="00D53E20">
              <w:rPr>
                <w:rFonts w:ascii="Roboto" w:hAnsi="Roboto" w:cs="Segoe UI"/>
                <w:color w:val="242424"/>
                <w:sz w:val="23"/>
                <w:szCs w:val="23"/>
              </w:rPr>
              <w:t xml:space="preserve"> </w:t>
            </w:r>
          </w:p>
          <w:p w14:paraId="2F5CEC23" w14:textId="77777777" w:rsidR="008A05F6" w:rsidRPr="00D53E20" w:rsidRDefault="008A05F6" w:rsidP="00851769">
            <w:pPr>
              <w:spacing w:line="257" w:lineRule="auto"/>
              <w:rPr>
                <w:rFonts w:ascii="Roboto" w:hAnsi="Roboto"/>
              </w:rPr>
            </w:pPr>
          </w:p>
          <w:p w14:paraId="7F0E7666" w14:textId="77777777" w:rsidR="008A05F6" w:rsidRPr="00D53E20" w:rsidRDefault="008A05F6" w:rsidP="00851769">
            <w:pPr>
              <w:spacing w:line="257" w:lineRule="auto"/>
              <w:rPr>
                <w:rFonts w:ascii="Roboto" w:hAnsi="Roboto"/>
              </w:rPr>
            </w:pPr>
          </w:p>
          <w:p w14:paraId="225DED46" w14:textId="77777777" w:rsidR="008A05F6" w:rsidRPr="00D53E20" w:rsidRDefault="008A05F6" w:rsidP="00851769">
            <w:pPr>
              <w:spacing w:line="257" w:lineRule="auto"/>
              <w:rPr>
                <w:rFonts w:ascii="Roboto" w:hAnsi="Roboto"/>
              </w:rPr>
            </w:pPr>
          </w:p>
          <w:p w14:paraId="0B34B24B" w14:textId="77777777" w:rsidR="008A05F6" w:rsidRPr="00D53E20" w:rsidRDefault="008A05F6" w:rsidP="00851769">
            <w:pPr>
              <w:spacing w:line="257" w:lineRule="auto"/>
              <w:rPr>
                <w:rFonts w:ascii="Roboto" w:hAnsi="Roboto"/>
              </w:rPr>
            </w:pPr>
          </w:p>
          <w:p w14:paraId="792E99BD" w14:textId="02DC7864" w:rsidR="008A05F6" w:rsidRPr="00D53E20" w:rsidRDefault="008A05F6" w:rsidP="00851769">
            <w:pPr>
              <w:spacing w:line="257" w:lineRule="auto"/>
              <w:rPr>
                <w:rFonts w:ascii="Roboto" w:hAnsi="Roboto"/>
              </w:rPr>
            </w:pPr>
          </w:p>
        </w:tc>
      </w:tr>
      <w:tr w:rsidR="00DE7BD7" w:rsidRPr="00D53E20" w14:paraId="514DED61" w14:textId="77777777" w:rsidTr="16CE41F3">
        <w:trPr>
          <w:trHeight w:val="446"/>
        </w:trPr>
        <w:tc>
          <w:tcPr>
            <w:tcW w:w="1310" w:type="dxa"/>
            <w:shd w:val="clear" w:color="auto" w:fill="FFFFFF" w:themeFill="background1"/>
            <w:vAlign w:val="center"/>
          </w:tcPr>
          <w:p w14:paraId="4ECCF4A3" w14:textId="240A5502" w:rsidR="00DE7BD7" w:rsidRPr="00CA7CE7" w:rsidRDefault="00DE7BD7" w:rsidP="00CA7CE7">
            <w:pPr>
              <w:pStyle w:val="ListParagraph"/>
              <w:numPr>
                <w:ilvl w:val="0"/>
                <w:numId w:val="10"/>
              </w:numPr>
              <w:spacing w:after="0"/>
              <w:rPr>
                <w:rFonts w:ascii="Roboto" w:hAnsi="Roboto"/>
              </w:rPr>
            </w:pPr>
          </w:p>
        </w:tc>
        <w:tc>
          <w:tcPr>
            <w:tcW w:w="6340" w:type="dxa"/>
            <w:shd w:val="clear" w:color="auto" w:fill="D6E4F5"/>
          </w:tcPr>
          <w:p w14:paraId="27D1E955" w14:textId="503C0E57" w:rsidR="00DE7BD7" w:rsidRPr="00D53E20" w:rsidRDefault="008E60A3" w:rsidP="00851769">
            <w:pPr>
              <w:spacing w:line="278" w:lineRule="auto"/>
              <w:rPr>
                <w:rFonts w:ascii="Roboto" w:hAnsi="Roboto" w:cs="Segoe UI"/>
                <w:color w:val="242424"/>
                <w:sz w:val="23"/>
                <w:szCs w:val="23"/>
              </w:rPr>
            </w:pPr>
            <w:r w:rsidRPr="00D53E20">
              <w:rPr>
                <w:rFonts w:ascii="Roboto" w:hAnsi="Roboto" w:cs="Segoe UI"/>
                <w:color w:val="242424"/>
                <w:sz w:val="23"/>
                <w:szCs w:val="23"/>
              </w:rPr>
              <w:t>Tools and environments: Will ACARA provide Adobe Experience Manager licences and the development, test and staging environments for the successful tenderer, or should these be priced into our response?</w:t>
            </w:r>
          </w:p>
        </w:tc>
        <w:tc>
          <w:tcPr>
            <w:tcW w:w="7229" w:type="dxa"/>
            <w:vAlign w:val="center"/>
          </w:tcPr>
          <w:p w14:paraId="3AF12CBC" w14:textId="12225FC4" w:rsidR="00DE7BD7" w:rsidRPr="007102A0" w:rsidRDefault="007102A0" w:rsidP="00953F4D">
            <w:pPr>
              <w:spacing w:line="278" w:lineRule="auto"/>
              <w:rPr>
                <w:rFonts w:ascii="Roboto" w:hAnsi="Roboto" w:cs="Segoe UI"/>
                <w:color w:val="242424"/>
                <w:sz w:val="23"/>
                <w:szCs w:val="23"/>
              </w:rPr>
            </w:pPr>
            <w:r>
              <w:rPr>
                <w:rFonts w:ascii="Roboto" w:hAnsi="Roboto" w:cs="Segoe UI"/>
                <w:color w:val="242424"/>
                <w:sz w:val="23"/>
                <w:szCs w:val="23"/>
              </w:rPr>
              <w:t>AC</w:t>
            </w:r>
            <w:r w:rsidR="00DB4682" w:rsidRPr="007102A0">
              <w:rPr>
                <w:rFonts w:ascii="Roboto" w:hAnsi="Roboto" w:cs="Segoe UI"/>
                <w:color w:val="242424"/>
                <w:sz w:val="23"/>
                <w:szCs w:val="23"/>
              </w:rPr>
              <w:t xml:space="preserve">ARA will </w:t>
            </w:r>
            <w:r w:rsidR="000038AD">
              <w:rPr>
                <w:rFonts w:ascii="Roboto" w:hAnsi="Roboto" w:cs="Segoe UI"/>
                <w:color w:val="242424"/>
                <w:sz w:val="23"/>
                <w:szCs w:val="23"/>
              </w:rPr>
              <w:t xml:space="preserve">purchase </w:t>
            </w:r>
            <w:r w:rsidR="00DB4682" w:rsidRPr="007102A0">
              <w:rPr>
                <w:rFonts w:ascii="Roboto" w:hAnsi="Roboto" w:cs="Segoe UI"/>
                <w:color w:val="242424"/>
                <w:sz w:val="23"/>
                <w:szCs w:val="23"/>
              </w:rPr>
              <w:t xml:space="preserve">required </w:t>
            </w:r>
            <w:r w:rsidRPr="007102A0">
              <w:rPr>
                <w:rFonts w:ascii="Roboto" w:hAnsi="Roboto" w:cs="Segoe UI"/>
                <w:color w:val="242424"/>
                <w:sz w:val="23"/>
                <w:szCs w:val="23"/>
              </w:rPr>
              <w:t>AEM licenses</w:t>
            </w:r>
            <w:r w:rsidR="000038AD">
              <w:rPr>
                <w:rFonts w:ascii="Roboto" w:hAnsi="Roboto" w:cs="Segoe UI"/>
                <w:color w:val="242424"/>
                <w:sz w:val="23"/>
                <w:szCs w:val="23"/>
              </w:rPr>
              <w:t xml:space="preserve"> and p</w:t>
            </w:r>
            <w:r w:rsidR="007067AC">
              <w:rPr>
                <w:rFonts w:ascii="Roboto" w:hAnsi="Roboto" w:cs="Segoe UI"/>
                <w:color w:val="242424"/>
                <w:sz w:val="23"/>
                <w:szCs w:val="23"/>
              </w:rPr>
              <w:t>rovide</w:t>
            </w:r>
            <w:r w:rsidR="00605888">
              <w:rPr>
                <w:rFonts w:ascii="Roboto" w:hAnsi="Roboto" w:cs="Segoe UI"/>
                <w:color w:val="242424"/>
                <w:sz w:val="23"/>
                <w:szCs w:val="23"/>
              </w:rPr>
              <w:t>,</w:t>
            </w:r>
            <w:r w:rsidR="007067AC">
              <w:rPr>
                <w:rFonts w:ascii="Roboto" w:hAnsi="Roboto" w:cs="Segoe UI"/>
                <w:color w:val="242424"/>
                <w:sz w:val="23"/>
                <w:szCs w:val="23"/>
              </w:rPr>
              <w:t xml:space="preserve"> as require</w:t>
            </w:r>
            <w:r w:rsidR="00605888">
              <w:rPr>
                <w:rFonts w:ascii="Roboto" w:hAnsi="Roboto" w:cs="Segoe UI"/>
                <w:color w:val="242424"/>
                <w:sz w:val="23"/>
                <w:szCs w:val="23"/>
              </w:rPr>
              <w:t>d,</w:t>
            </w:r>
            <w:r w:rsidR="007067AC">
              <w:rPr>
                <w:rFonts w:ascii="Roboto" w:hAnsi="Roboto" w:cs="Segoe UI"/>
                <w:color w:val="242424"/>
                <w:sz w:val="23"/>
                <w:szCs w:val="23"/>
              </w:rPr>
              <w:t xml:space="preserve"> to the </w:t>
            </w:r>
            <w:r w:rsidR="005C73CE">
              <w:rPr>
                <w:rFonts w:ascii="Roboto" w:hAnsi="Roboto" w:cs="Segoe UI"/>
                <w:color w:val="242424"/>
                <w:sz w:val="23"/>
                <w:szCs w:val="23"/>
              </w:rPr>
              <w:t>successful tenderer</w:t>
            </w:r>
            <w:r w:rsidRPr="007102A0">
              <w:rPr>
                <w:rFonts w:ascii="Roboto" w:hAnsi="Roboto" w:cs="Segoe UI"/>
                <w:color w:val="242424"/>
                <w:sz w:val="23"/>
                <w:szCs w:val="23"/>
              </w:rPr>
              <w:t>.</w:t>
            </w:r>
          </w:p>
        </w:tc>
      </w:tr>
      <w:tr w:rsidR="00DE7BD7" w:rsidRPr="00D53E20" w14:paraId="0C890B95" w14:textId="77777777" w:rsidTr="16CE41F3">
        <w:trPr>
          <w:trHeight w:val="446"/>
        </w:trPr>
        <w:tc>
          <w:tcPr>
            <w:tcW w:w="1310" w:type="dxa"/>
            <w:shd w:val="clear" w:color="auto" w:fill="FFFFFF" w:themeFill="background1"/>
            <w:vAlign w:val="center"/>
          </w:tcPr>
          <w:p w14:paraId="55B7190F" w14:textId="3B6BEED7" w:rsidR="00DE7BD7" w:rsidRPr="00CA7CE7" w:rsidRDefault="00DE7BD7" w:rsidP="00CA7CE7">
            <w:pPr>
              <w:pStyle w:val="ListParagraph"/>
              <w:numPr>
                <w:ilvl w:val="0"/>
                <w:numId w:val="10"/>
              </w:numPr>
              <w:spacing w:after="0"/>
              <w:rPr>
                <w:rFonts w:ascii="Roboto" w:hAnsi="Roboto"/>
              </w:rPr>
            </w:pPr>
          </w:p>
        </w:tc>
        <w:tc>
          <w:tcPr>
            <w:tcW w:w="6340" w:type="dxa"/>
            <w:shd w:val="clear" w:color="auto" w:fill="D6E4F5"/>
          </w:tcPr>
          <w:p w14:paraId="6C493E52" w14:textId="3E0A2BFE" w:rsidR="00DE7BD7" w:rsidRPr="00D53E20" w:rsidRDefault="008E60A3" w:rsidP="00851769">
            <w:pPr>
              <w:spacing w:line="278" w:lineRule="auto"/>
              <w:rPr>
                <w:rFonts w:ascii="Roboto" w:hAnsi="Roboto" w:cs="Segoe UI"/>
                <w:color w:val="242424"/>
                <w:sz w:val="23"/>
                <w:szCs w:val="23"/>
              </w:rPr>
            </w:pPr>
            <w:r w:rsidRPr="00D53E20">
              <w:rPr>
                <w:rFonts w:ascii="Roboto" w:hAnsi="Roboto" w:cs="Segoe UI"/>
                <w:color w:val="242424"/>
                <w:sz w:val="23"/>
                <w:szCs w:val="23"/>
              </w:rPr>
              <w:t>Predecessor experience: Where a tenderer’s principal has previously delivered work for ACARA through a separate, no longer trading entity, may that experience be presented in Attachment 4, and if so, how should it be identified?</w:t>
            </w:r>
          </w:p>
        </w:tc>
        <w:tc>
          <w:tcPr>
            <w:tcW w:w="7229" w:type="dxa"/>
            <w:vAlign w:val="center"/>
          </w:tcPr>
          <w:p w14:paraId="50E8C2E1" w14:textId="49244608" w:rsidR="00DE7BD7" w:rsidRPr="00D53E20" w:rsidRDefault="37254F76" w:rsidP="00953F4D">
            <w:pPr>
              <w:spacing w:line="278" w:lineRule="auto"/>
              <w:rPr>
                <w:rFonts w:ascii="Roboto" w:hAnsi="Roboto"/>
                <w:sz w:val="28"/>
                <w:szCs w:val="28"/>
              </w:rPr>
            </w:pPr>
            <w:r w:rsidRPr="00D53E20">
              <w:rPr>
                <w:rFonts w:ascii="Roboto" w:hAnsi="Roboto" w:cs="Segoe UI"/>
                <w:color w:val="242424"/>
                <w:sz w:val="23"/>
                <w:szCs w:val="23"/>
              </w:rPr>
              <w:t xml:space="preserve">This can be explained and detailed as an Attachment 4 case study. </w:t>
            </w:r>
          </w:p>
        </w:tc>
      </w:tr>
      <w:tr w:rsidR="00DB328C" w:rsidRPr="00D53E20" w14:paraId="31E858FC" w14:textId="77777777" w:rsidTr="16CE41F3">
        <w:trPr>
          <w:trHeight w:val="446"/>
        </w:trPr>
        <w:tc>
          <w:tcPr>
            <w:tcW w:w="1310" w:type="dxa"/>
            <w:shd w:val="clear" w:color="auto" w:fill="FFFFFF" w:themeFill="background1"/>
            <w:vAlign w:val="center"/>
          </w:tcPr>
          <w:p w14:paraId="4DCAE6DE" w14:textId="36B68207" w:rsidR="00DB328C" w:rsidRPr="00CA7CE7" w:rsidRDefault="00DB328C" w:rsidP="00CA7CE7">
            <w:pPr>
              <w:pStyle w:val="ListParagraph"/>
              <w:numPr>
                <w:ilvl w:val="0"/>
                <w:numId w:val="10"/>
              </w:numPr>
              <w:spacing w:after="0"/>
              <w:rPr>
                <w:rFonts w:ascii="Roboto" w:hAnsi="Roboto"/>
              </w:rPr>
            </w:pPr>
          </w:p>
        </w:tc>
        <w:tc>
          <w:tcPr>
            <w:tcW w:w="6340" w:type="dxa"/>
            <w:shd w:val="clear" w:color="auto" w:fill="D6E4F5"/>
          </w:tcPr>
          <w:p w14:paraId="333E6E70" w14:textId="77777777" w:rsidR="00C40174" w:rsidRPr="00D53E20" w:rsidRDefault="00C40174" w:rsidP="005A68A3">
            <w:pPr>
              <w:spacing w:before="240"/>
              <w:rPr>
                <w:rFonts w:ascii="Roboto" w:hAnsi="Roboto"/>
              </w:rPr>
            </w:pPr>
            <w:r w:rsidRPr="00D53E20">
              <w:rPr>
                <w:rFonts w:ascii="Roboto" w:hAnsi="Roboto"/>
                <w:b/>
                <w:bCs/>
              </w:rPr>
              <w:t xml:space="preserve">Onboarding and mobilisation: </w:t>
            </w:r>
            <w:r w:rsidRPr="00D53E20">
              <w:rPr>
                <w:rFonts w:ascii="Roboto" w:hAnsi="Roboto"/>
              </w:rPr>
              <w:t>The RFT anticipates a six-week transition following contract execution. Could ACARA clarify the expected mobilisation outcomes, whether services are expected to commence during that period, and any assumptions about ACARA’s availability to provide access, documentation and stakeholder input?</w:t>
            </w:r>
          </w:p>
          <w:p w14:paraId="7C07A657" w14:textId="77777777" w:rsidR="00DB328C" w:rsidRPr="00D53E20" w:rsidRDefault="00DB328C" w:rsidP="00851769">
            <w:pPr>
              <w:spacing w:line="278" w:lineRule="auto"/>
              <w:rPr>
                <w:rFonts w:ascii="Roboto" w:hAnsi="Roboto" w:cs="Segoe UI"/>
                <w:color w:val="242424"/>
                <w:sz w:val="23"/>
                <w:szCs w:val="23"/>
              </w:rPr>
            </w:pPr>
          </w:p>
        </w:tc>
        <w:tc>
          <w:tcPr>
            <w:tcW w:w="7229" w:type="dxa"/>
            <w:vAlign w:val="center"/>
          </w:tcPr>
          <w:p w14:paraId="77BFB61E" w14:textId="77777777" w:rsidR="00DB50EB" w:rsidRPr="00DB50EB" w:rsidRDefault="00DB50EB" w:rsidP="00DB50EB">
            <w:pPr>
              <w:spacing w:line="278" w:lineRule="auto"/>
              <w:rPr>
                <w:rFonts w:ascii="Roboto" w:hAnsi="Roboto" w:cs="Segoe UI"/>
                <w:color w:val="242424"/>
                <w:sz w:val="23"/>
                <w:szCs w:val="23"/>
              </w:rPr>
            </w:pPr>
            <w:r w:rsidRPr="00DB50EB">
              <w:rPr>
                <w:rFonts w:ascii="Roboto" w:hAnsi="Roboto" w:cs="Segoe UI"/>
                <w:color w:val="242424"/>
                <w:sz w:val="23"/>
                <w:szCs w:val="23"/>
              </w:rPr>
              <w:t>The six week transition period is intended to establish the governance, access, knowledge and operational arrangements required for service commencement. Expected outcomes include an agreed transition plan, confirmed roles and escalation pathways, provision of relevant system access and documentation, knowledge transfer from incumbent providers, and readiness to manage agreed work.</w:t>
            </w:r>
          </w:p>
          <w:p w14:paraId="748EC4B8" w14:textId="0FF75FA8" w:rsidR="00916F9A" w:rsidRPr="00916F9A" w:rsidRDefault="00DB50EB" w:rsidP="00916F9A">
            <w:pPr>
              <w:spacing w:line="278" w:lineRule="auto"/>
              <w:rPr>
                <w:rFonts w:ascii="Roboto" w:hAnsi="Roboto" w:cs="Segoe UI"/>
                <w:color w:val="242424"/>
                <w:sz w:val="23"/>
                <w:szCs w:val="23"/>
              </w:rPr>
            </w:pPr>
            <w:r w:rsidRPr="00DB50EB">
              <w:rPr>
                <w:rFonts w:ascii="Roboto" w:hAnsi="Roboto" w:cs="Segoe UI"/>
                <w:color w:val="242424"/>
                <w:sz w:val="23"/>
                <w:szCs w:val="23"/>
              </w:rPr>
              <w:t xml:space="preserve">Tenderers should provide a detailed mobilisation approach covering proposed personnel, governance, dependencies, risks, knowledge transfer activities and readiness measures. </w:t>
            </w:r>
            <w:r w:rsidR="00916F9A" w:rsidRPr="00916F9A">
              <w:rPr>
                <w:rFonts w:ascii="Roboto" w:hAnsi="Roboto" w:cs="Segoe UI"/>
                <w:color w:val="242424"/>
                <w:sz w:val="23"/>
                <w:szCs w:val="23"/>
              </w:rPr>
              <w:t xml:space="preserve">Services may commence progressively during this period where agreed with ACARA. ACARA will facilitate reasonable access to </w:t>
            </w:r>
            <w:r w:rsidRPr="00DB50EB">
              <w:rPr>
                <w:rFonts w:ascii="Roboto" w:hAnsi="Roboto" w:cs="Segoe UI"/>
                <w:color w:val="242424"/>
                <w:sz w:val="23"/>
                <w:szCs w:val="23"/>
              </w:rPr>
              <w:t xml:space="preserve">relevant personnel, </w:t>
            </w:r>
            <w:r w:rsidR="00916F9A" w:rsidRPr="00916F9A">
              <w:rPr>
                <w:rFonts w:ascii="Roboto" w:hAnsi="Roboto" w:cs="Segoe UI"/>
                <w:color w:val="242424"/>
                <w:sz w:val="23"/>
                <w:szCs w:val="23"/>
              </w:rPr>
              <w:t>documentation, systems, incumbent providers and stakeholders, subject to operational priorities and security requirements.</w:t>
            </w:r>
          </w:p>
          <w:p w14:paraId="4C8553B0" w14:textId="77777777" w:rsidR="00DB328C" w:rsidRPr="00D53E20" w:rsidRDefault="00DB328C" w:rsidP="00953F4D">
            <w:pPr>
              <w:spacing w:line="278" w:lineRule="auto"/>
              <w:rPr>
                <w:rFonts w:ascii="Roboto" w:hAnsi="Roboto" w:cs="Segoe UI"/>
                <w:color w:val="242424"/>
                <w:sz w:val="23"/>
                <w:szCs w:val="23"/>
              </w:rPr>
            </w:pPr>
          </w:p>
        </w:tc>
      </w:tr>
      <w:tr w:rsidR="00DB328C" w:rsidRPr="00D53E20" w14:paraId="3B492E9A" w14:textId="77777777" w:rsidTr="16CE41F3">
        <w:trPr>
          <w:trHeight w:val="446"/>
        </w:trPr>
        <w:tc>
          <w:tcPr>
            <w:tcW w:w="1310" w:type="dxa"/>
            <w:shd w:val="clear" w:color="auto" w:fill="FFFFFF" w:themeFill="background1"/>
            <w:vAlign w:val="center"/>
          </w:tcPr>
          <w:p w14:paraId="1D4682F8" w14:textId="12A70ACE" w:rsidR="00DB328C" w:rsidRPr="00CA7CE7" w:rsidRDefault="00DB328C" w:rsidP="00CA7CE7">
            <w:pPr>
              <w:pStyle w:val="ListParagraph"/>
              <w:numPr>
                <w:ilvl w:val="0"/>
                <w:numId w:val="10"/>
              </w:numPr>
              <w:spacing w:after="0"/>
              <w:rPr>
                <w:rFonts w:ascii="Roboto" w:hAnsi="Roboto"/>
              </w:rPr>
            </w:pPr>
          </w:p>
        </w:tc>
        <w:tc>
          <w:tcPr>
            <w:tcW w:w="6340" w:type="dxa"/>
            <w:shd w:val="clear" w:color="auto" w:fill="D6E4F5"/>
          </w:tcPr>
          <w:p w14:paraId="145D379D" w14:textId="77777777" w:rsidR="00DF1168" w:rsidRPr="00D53E20" w:rsidRDefault="00DF1168" w:rsidP="005A68A3">
            <w:pPr>
              <w:rPr>
                <w:rFonts w:ascii="Roboto" w:hAnsi="Roboto"/>
              </w:rPr>
            </w:pPr>
            <w:r w:rsidRPr="00D53E20">
              <w:rPr>
                <w:rFonts w:ascii="Roboto" w:hAnsi="Roboto"/>
                <w:b/>
                <w:bCs/>
              </w:rPr>
              <w:t xml:space="preserve">Design scope for migrations: </w:t>
            </w:r>
            <w:r w:rsidRPr="00D53E20">
              <w:rPr>
                <w:rFonts w:ascii="Roboto" w:hAnsi="Roboto"/>
              </w:rPr>
              <w:t>For the three websites migrating from Sitefinity to AEM, should tenderers assume a like-for-like migration, or should the scope include UX redesign, information architecture changes, content restructuring or new functionality?</w:t>
            </w:r>
          </w:p>
          <w:p w14:paraId="351B1B9E" w14:textId="77777777" w:rsidR="00DB328C" w:rsidRPr="00D53E20" w:rsidRDefault="00DB328C" w:rsidP="00851769">
            <w:pPr>
              <w:spacing w:line="278" w:lineRule="auto"/>
              <w:rPr>
                <w:rFonts w:ascii="Roboto" w:hAnsi="Roboto" w:cs="Segoe UI"/>
                <w:color w:val="242424"/>
                <w:sz w:val="23"/>
                <w:szCs w:val="23"/>
              </w:rPr>
            </w:pPr>
          </w:p>
        </w:tc>
        <w:tc>
          <w:tcPr>
            <w:tcW w:w="7229" w:type="dxa"/>
            <w:vAlign w:val="center"/>
          </w:tcPr>
          <w:p w14:paraId="6781AC3D" w14:textId="77777777" w:rsidR="008F13AB" w:rsidRPr="008F13AB" w:rsidRDefault="008F13AB" w:rsidP="008F13AB">
            <w:pPr>
              <w:spacing w:line="278" w:lineRule="auto"/>
              <w:rPr>
                <w:rFonts w:ascii="Roboto" w:hAnsi="Roboto" w:cs="Segoe UI"/>
                <w:color w:val="242424"/>
                <w:sz w:val="23"/>
                <w:szCs w:val="23"/>
              </w:rPr>
            </w:pPr>
            <w:r w:rsidRPr="008F13AB">
              <w:rPr>
                <w:rFonts w:ascii="Roboto" w:hAnsi="Roboto" w:cs="Segoe UI"/>
                <w:color w:val="242424"/>
                <w:sz w:val="23"/>
                <w:szCs w:val="23"/>
              </w:rPr>
              <w:t>ACARA does not intend the migrations to be limited to a like for like migration. Tenderers should anticipate opportunities to improve user experience, information architecture, content structure, accessibility, performance and maintainability, and to reuse or enhance AEM components where appropriate.</w:t>
            </w:r>
          </w:p>
          <w:p w14:paraId="6BFF46BA" w14:textId="777D8CFE" w:rsidR="00DB328C" w:rsidRPr="00D53E20" w:rsidRDefault="008F13AB" w:rsidP="00953F4D">
            <w:pPr>
              <w:spacing w:line="278" w:lineRule="auto"/>
              <w:rPr>
                <w:rFonts w:ascii="Roboto" w:hAnsi="Roboto" w:cs="Segoe UI"/>
                <w:color w:val="242424"/>
                <w:sz w:val="23"/>
                <w:szCs w:val="23"/>
              </w:rPr>
            </w:pPr>
            <w:r w:rsidRPr="008F13AB">
              <w:rPr>
                <w:rFonts w:ascii="Roboto" w:hAnsi="Roboto" w:cs="Segoe UI"/>
                <w:color w:val="242424"/>
                <w:sz w:val="23"/>
                <w:szCs w:val="23"/>
              </w:rPr>
              <w:lastRenderedPageBreak/>
              <w:t>Tenderers should demonstrate relevant experience delivering AEM migrations that achieved measurable improvements in these areas. The detailed scope, priorities and deliverables for each migration will be agreed through individual work packages. Any proposed new functionality or material redesign will be assessed and prioritised by ACARA as part of the relevant work package.</w:t>
            </w:r>
          </w:p>
        </w:tc>
      </w:tr>
      <w:tr w:rsidR="00DB328C" w:rsidRPr="00D53E20" w14:paraId="6F25D98C" w14:textId="77777777" w:rsidTr="16CE41F3">
        <w:trPr>
          <w:trHeight w:val="446"/>
        </w:trPr>
        <w:tc>
          <w:tcPr>
            <w:tcW w:w="1310" w:type="dxa"/>
            <w:shd w:val="clear" w:color="auto" w:fill="FFFFFF" w:themeFill="background1"/>
            <w:vAlign w:val="center"/>
          </w:tcPr>
          <w:p w14:paraId="018DAC7B" w14:textId="15E398AC" w:rsidR="00DB328C" w:rsidRPr="00D53E20" w:rsidRDefault="00DB328C" w:rsidP="00CA7CE7">
            <w:pPr>
              <w:pStyle w:val="ListParagraph"/>
              <w:numPr>
                <w:ilvl w:val="0"/>
                <w:numId w:val="10"/>
              </w:numPr>
              <w:spacing w:after="0"/>
              <w:rPr>
                <w:rFonts w:ascii="Roboto" w:hAnsi="Roboto"/>
              </w:rPr>
            </w:pPr>
          </w:p>
        </w:tc>
        <w:tc>
          <w:tcPr>
            <w:tcW w:w="6340" w:type="dxa"/>
            <w:shd w:val="clear" w:color="auto" w:fill="D6E4F5"/>
          </w:tcPr>
          <w:p w14:paraId="331E98B1" w14:textId="6D6C2123" w:rsidR="00DB328C" w:rsidRPr="00D53E20" w:rsidRDefault="00B337DA" w:rsidP="006D0A57">
            <w:pPr>
              <w:rPr>
                <w:rFonts w:ascii="Roboto" w:hAnsi="Roboto" w:cs="Segoe UI"/>
                <w:color w:val="242424"/>
                <w:sz w:val="23"/>
                <w:szCs w:val="23"/>
              </w:rPr>
            </w:pPr>
            <w:r w:rsidRPr="00D53E20">
              <w:rPr>
                <w:rFonts w:ascii="Roboto" w:hAnsi="Roboto"/>
                <w:b/>
                <w:bCs/>
              </w:rPr>
              <w:t xml:space="preserve">Design system and component reuse: </w:t>
            </w:r>
            <w:r w:rsidRPr="00D53E20">
              <w:rPr>
                <w:rFonts w:ascii="Roboto" w:hAnsi="Roboto"/>
              </w:rPr>
              <w:t>Does ACARA have an established design system, component library, brand guidance and accessibility patterns for all five websites? If so, which assets should the Partner use or extend, and is the Partner expected to establish or govern shared components across the sites?</w:t>
            </w:r>
          </w:p>
        </w:tc>
        <w:tc>
          <w:tcPr>
            <w:tcW w:w="7229" w:type="dxa"/>
            <w:vAlign w:val="center"/>
          </w:tcPr>
          <w:p w14:paraId="37D48602" w14:textId="2E14FF63" w:rsidR="00DB328C" w:rsidRPr="00D53E20" w:rsidRDefault="1905BCB2" w:rsidP="00953F4D">
            <w:pPr>
              <w:spacing w:line="278" w:lineRule="auto"/>
            </w:pPr>
            <w:r w:rsidRPr="5AC76DE4">
              <w:rPr>
                <w:rFonts w:ascii="Roboto" w:hAnsi="Roboto" w:cs="Segoe UI"/>
                <w:color w:val="242424"/>
                <w:sz w:val="23"/>
                <w:szCs w:val="23"/>
              </w:rPr>
              <w:t>We have already built two websites on Adobe Experience Manager (AEM), establishing a solid foundation work with reusable components and the underlying architecture in place. We can leverage this existing work to extend the current component library and infrastructure for the new websites, reducing duplication, accelerating development, and ensuring consistency across the sites. Any additional requirements can be addressed by enhancing the existing components or developing new ones where necessary.</w:t>
            </w:r>
          </w:p>
        </w:tc>
      </w:tr>
      <w:tr w:rsidR="00DB328C" w:rsidRPr="00D53E20" w14:paraId="273E5751" w14:textId="77777777" w:rsidTr="16CE41F3">
        <w:trPr>
          <w:trHeight w:val="446"/>
        </w:trPr>
        <w:tc>
          <w:tcPr>
            <w:tcW w:w="1310" w:type="dxa"/>
            <w:shd w:val="clear" w:color="auto" w:fill="FFFFFF" w:themeFill="background1"/>
            <w:vAlign w:val="center"/>
          </w:tcPr>
          <w:p w14:paraId="5D0BCDCB" w14:textId="0795F49C" w:rsidR="00DB328C" w:rsidRPr="00D53E20" w:rsidRDefault="00DB328C" w:rsidP="00CA7CE7">
            <w:pPr>
              <w:pStyle w:val="ListParagraph"/>
              <w:numPr>
                <w:ilvl w:val="0"/>
                <w:numId w:val="10"/>
              </w:numPr>
              <w:spacing w:after="0"/>
              <w:rPr>
                <w:rFonts w:ascii="Roboto" w:hAnsi="Roboto"/>
              </w:rPr>
            </w:pPr>
          </w:p>
        </w:tc>
        <w:tc>
          <w:tcPr>
            <w:tcW w:w="6340" w:type="dxa"/>
            <w:shd w:val="clear" w:color="auto" w:fill="D6E4F5"/>
          </w:tcPr>
          <w:p w14:paraId="3C106939" w14:textId="77777777" w:rsidR="00C85CC0" w:rsidRPr="00D53E20" w:rsidRDefault="00C85CC0" w:rsidP="005A68A3">
            <w:pPr>
              <w:rPr>
                <w:rFonts w:ascii="Roboto" w:hAnsi="Roboto"/>
              </w:rPr>
            </w:pPr>
            <w:r w:rsidRPr="00D53E20">
              <w:rPr>
                <w:rFonts w:ascii="Roboto" w:hAnsi="Roboto"/>
                <w:b/>
                <w:bCs/>
              </w:rPr>
              <w:t xml:space="preserve">Support and incident management: </w:t>
            </w:r>
            <w:r w:rsidRPr="00D53E20">
              <w:rPr>
                <w:rFonts w:ascii="Roboto" w:hAnsi="Roboto"/>
              </w:rPr>
              <w:t>Could ACARA confirm the expected support hours and whether out-of-hours or production support is required?</w:t>
            </w:r>
          </w:p>
          <w:p w14:paraId="28E2D152" w14:textId="77777777" w:rsidR="00DB328C" w:rsidRPr="00D53E20" w:rsidRDefault="00DB328C" w:rsidP="00851769">
            <w:pPr>
              <w:spacing w:line="278" w:lineRule="auto"/>
              <w:rPr>
                <w:rFonts w:ascii="Roboto" w:hAnsi="Roboto" w:cs="Segoe UI"/>
                <w:color w:val="242424"/>
                <w:sz w:val="23"/>
                <w:szCs w:val="23"/>
              </w:rPr>
            </w:pPr>
          </w:p>
        </w:tc>
        <w:tc>
          <w:tcPr>
            <w:tcW w:w="7229" w:type="dxa"/>
            <w:vAlign w:val="center"/>
          </w:tcPr>
          <w:p w14:paraId="3880BAE1" w14:textId="77777777" w:rsidR="008F13AB" w:rsidRPr="008F13AB" w:rsidRDefault="008F13AB" w:rsidP="008F13AB">
            <w:pPr>
              <w:spacing w:line="278" w:lineRule="auto"/>
              <w:rPr>
                <w:rFonts w:ascii="Roboto" w:hAnsi="Roboto" w:cs="Segoe UI"/>
                <w:color w:val="242424"/>
                <w:sz w:val="23"/>
                <w:szCs w:val="23"/>
              </w:rPr>
            </w:pPr>
            <w:r w:rsidRPr="008F13AB">
              <w:rPr>
                <w:rFonts w:ascii="Roboto" w:hAnsi="Roboto" w:cs="Segoe UI"/>
                <w:color w:val="242424"/>
                <w:sz w:val="23"/>
                <w:szCs w:val="23"/>
              </w:rPr>
              <w:t>Support will generally be required during ACARA’s standard business hours. However, support outside business hours may be required during critical periods, including major releases, migrations, production incidents and other agreed critical activities.</w:t>
            </w:r>
          </w:p>
          <w:p w14:paraId="2084F1D6" w14:textId="46452888" w:rsidR="00DB328C" w:rsidRPr="00D53E20" w:rsidRDefault="008F13AB" w:rsidP="00953F4D">
            <w:pPr>
              <w:spacing w:line="278" w:lineRule="auto"/>
              <w:rPr>
                <w:rFonts w:ascii="Roboto" w:hAnsi="Roboto" w:cs="Segoe UI"/>
                <w:color w:val="242424"/>
                <w:sz w:val="23"/>
                <w:szCs w:val="23"/>
              </w:rPr>
            </w:pPr>
            <w:r w:rsidRPr="008F13AB">
              <w:rPr>
                <w:rFonts w:ascii="Roboto" w:hAnsi="Roboto" w:cs="Segoe UI"/>
                <w:color w:val="242424"/>
                <w:sz w:val="23"/>
                <w:szCs w:val="23"/>
              </w:rPr>
              <w:t>Tenderers should demonstrate their capacity to provide appropriately skilled personnel during these periods and describe their availability, escalation, communication and continuity arrangements. The timing, coverage and required personnel will be agreed in advance for each relevant activity.</w:t>
            </w:r>
          </w:p>
        </w:tc>
      </w:tr>
      <w:tr w:rsidR="00DB328C" w:rsidRPr="00D53E20" w14:paraId="23032B83" w14:textId="77777777" w:rsidTr="16CE41F3">
        <w:trPr>
          <w:trHeight w:val="446"/>
        </w:trPr>
        <w:tc>
          <w:tcPr>
            <w:tcW w:w="1310" w:type="dxa"/>
            <w:shd w:val="clear" w:color="auto" w:fill="FFFFFF" w:themeFill="background1"/>
            <w:vAlign w:val="center"/>
          </w:tcPr>
          <w:p w14:paraId="1DA87739" w14:textId="5BAFEFF8" w:rsidR="00DB328C" w:rsidRPr="00D53E20" w:rsidRDefault="00DB328C" w:rsidP="00CA7CE7">
            <w:pPr>
              <w:pStyle w:val="ListParagraph"/>
              <w:numPr>
                <w:ilvl w:val="0"/>
                <w:numId w:val="10"/>
              </w:numPr>
              <w:spacing w:after="0"/>
              <w:rPr>
                <w:rFonts w:ascii="Roboto" w:hAnsi="Roboto"/>
              </w:rPr>
            </w:pPr>
          </w:p>
        </w:tc>
        <w:tc>
          <w:tcPr>
            <w:tcW w:w="6340" w:type="dxa"/>
            <w:shd w:val="clear" w:color="auto" w:fill="D6E4F5"/>
          </w:tcPr>
          <w:p w14:paraId="02A274DD" w14:textId="77777777" w:rsidR="001C66AB" w:rsidRPr="00D53E20" w:rsidRDefault="001C66AB" w:rsidP="005A68A3">
            <w:pPr>
              <w:rPr>
                <w:rFonts w:ascii="Roboto" w:hAnsi="Roboto"/>
              </w:rPr>
            </w:pPr>
            <w:r w:rsidRPr="00D53E20">
              <w:rPr>
                <w:rFonts w:ascii="Roboto" w:hAnsi="Roboto"/>
                <w:b/>
                <w:bCs/>
              </w:rPr>
              <w:t xml:space="preserve">Accessibility requirements: </w:t>
            </w:r>
            <w:r w:rsidRPr="00D53E20">
              <w:rPr>
                <w:rFonts w:ascii="Roboto" w:hAnsi="Roboto"/>
              </w:rPr>
              <w:t xml:space="preserve">Could ACARA specify the accessibility standard and conformance level that deliverables </w:t>
            </w:r>
            <w:r w:rsidRPr="00D53E20">
              <w:rPr>
                <w:rFonts w:ascii="Roboto" w:hAnsi="Roboto"/>
              </w:rPr>
              <w:lastRenderedPageBreak/>
              <w:t>must meet, and confirm the expected evidence or testing approach for demonstrating compliance?</w:t>
            </w:r>
          </w:p>
          <w:p w14:paraId="62F29368" w14:textId="77777777" w:rsidR="00DB328C" w:rsidRPr="00D53E20" w:rsidRDefault="00DB328C" w:rsidP="00851769">
            <w:pPr>
              <w:spacing w:line="278" w:lineRule="auto"/>
              <w:rPr>
                <w:rFonts w:ascii="Roboto" w:hAnsi="Roboto" w:cs="Segoe UI"/>
                <w:color w:val="242424"/>
                <w:sz w:val="23"/>
                <w:szCs w:val="23"/>
              </w:rPr>
            </w:pPr>
          </w:p>
        </w:tc>
        <w:tc>
          <w:tcPr>
            <w:tcW w:w="7229" w:type="dxa"/>
            <w:vAlign w:val="center"/>
          </w:tcPr>
          <w:p w14:paraId="5BAB0703" w14:textId="77777777" w:rsidR="000373D2" w:rsidRPr="000373D2" w:rsidRDefault="000373D2" w:rsidP="000373D2">
            <w:pPr>
              <w:spacing w:line="278" w:lineRule="auto"/>
              <w:rPr>
                <w:rFonts w:ascii="Roboto" w:hAnsi="Roboto" w:cs="Segoe UI"/>
                <w:color w:val="242424"/>
                <w:sz w:val="23"/>
                <w:szCs w:val="23"/>
              </w:rPr>
            </w:pPr>
            <w:r w:rsidRPr="000373D2">
              <w:rPr>
                <w:rFonts w:ascii="Roboto" w:hAnsi="Roboto" w:cs="Segoe UI"/>
                <w:color w:val="242424"/>
                <w:sz w:val="23"/>
                <w:szCs w:val="23"/>
              </w:rPr>
              <w:lastRenderedPageBreak/>
              <w:t>Deliverables must conform to WCAG 2.2 Level AA and applicable Australian Government accessibility requirements.</w:t>
            </w:r>
          </w:p>
          <w:p w14:paraId="0F0DE47C" w14:textId="752006C1" w:rsidR="00DB328C" w:rsidRPr="00D53E20" w:rsidRDefault="000373D2" w:rsidP="00953F4D">
            <w:pPr>
              <w:spacing w:line="278" w:lineRule="auto"/>
              <w:rPr>
                <w:rFonts w:ascii="Roboto" w:hAnsi="Roboto" w:cs="Segoe UI"/>
                <w:color w:val="242424"/>
                <w:sz w:val="23"/>
                <w:szCs w:val="23"/>
              </w:rPr>
            </w:pPr>
            <w:r w:rsidRPr="000373D2">
              <w:rPr>
                <w:rFonts w:ascii="Roboto" w:hAnsi="Roboto" w:cs="Segoe UI"/>
                <w:color w:val="242424"/>
                <w:sz w:val="23"/>
                <w:szCs w:val="23"/>
              </w:rPr>
              <w:lastRenderedPageBreak/>
              <w:t>Tenderers should demonstrate relevant accessibility capability and experience. Compliance must be supported by automated and manual testing, including keyboard navigation, screen reader and other relevant assistive technology testing. Test results, identified issues, remediation actions and verification evidence must be documented for ACARA’s review before release.</w:t>
            </w:r>
          </w:p>
        </w:tc>
      </w:tr>
      <w:tr w:rsidR="00DB328C" w:rsidRPr="00D53E20" w14:paraId="403A4C44" w14:textId="77777777" w:rsidTr="16CE41F3">
        <w:trPr>
          <w:trHeight w:val="446"/>
        </w:trPr>
        <w:tc>
          <w:tcPr>
            <w:tcW w:w="1310" w:type="dxa"/>
            <w:shd w:val="clear" w:color="auto" w:fill="FFFFFF" w:themeFill="background1"/>
            <w:vAlign w:val="center"/>
          </w:tcPr>
          <w:p w14:paraId="09280A5A" w14:textId="4EDD2E13" w:rsidR="00DB328C" w:rsidRPr="00D53E20" w:rsidRDefault="00DB328C" w:rsidP="00CA7CE7">
            <w:pPr>
              <w:pStyle w:val="ListParagraph"/>
              <w:numPr>
                <w:ilvl w:val="0"/>
                <w:numId w:val="10"/>
              </w:numPr>
              <w:spacing w:after="0"/>
              <w:rPr>
                <w:rFonts w:ascii="Roboto" w:hAnsi="Roboto"/>
              </w:rPr>
            </w:pPr>
          </w:p>
        </w:tc>
        <w:tc>
          <w:tcPr>
            <w:tcW w:w="6340" w:type="dxa"/>
            <w:shd w:val="clear" w:color="auto" w:fill="D6E4F5"/>
          </w:tcPr>
          <w:p w14:paraId="574000BA" w14:textId="77777777" w:rsidR="00880D1D" w:rsidRPr="00D53E20" w:rsidRDefault="00880D1D" w:rsidP="005A68A3">
            <w:pPr>
              <w:rPr>
                <w:rFonts w:ascii="Roboto" w:hAnsi="Roboto"/>
              </w:rPr>
            </w:pPr>
            <w:r w:rsidRPr="00D53E20">
              <w:rPr>
                <w:rFonts w:ascii="Roboto" w:hAnsi="Roboto"/>
                <w:b/>
                <w:bCs/>
              </w:rPr>
              <w:t xml:space="preserve">Content and data migration validation: </w:t>
            </w:r>
            <w:r w:rsidRPr="00D53E20">
              <w:rPr>
                <w:rFonts w:ascii="Roboto" w:hAnsi="Roboto"/>
              </w:rPr>
              <w:t>For website migrations, what level of content and data validation is expected from the Partner, including reconciliation of migrated pages and assets, metadata, search indexing, analytics tags and redirects? Who will provide business/content-owner sign-off?</w:t>
            </w:r>
          </w:p>
          <w:p w14:paraId="6021D039" w14:textId="77777777" w:rsidR="00DB328C" w:rsidRPr="00D53E20" w:rsidRDefault="00DB328C" w:rsidP="00851769">
            <w:pPr>
              <w:spacing w:line="278" w:lineRule="auto"/>
              <w:rPr>
                <w:rFonts w:ascii="Roboto" w:hAnsi="Roboto" w:cs="Segoe UI"/>
                <w:color w:val="242424"/>
                <w:sz w:val="23"/>
                <w:szCs w:val="23"/>
              </w:rPr>
            </w:pPr>
          </w:p>
        </w:tc>
        <w:tc>
          <w:tcPr>
            <w:tcW w:w="7229" w:type="dxa"/>
            <w:vAlign w:val="center"/>
          </w:tcPr>
          <w:p w14:paraId="6CB39F6E" w14:textId="77777777" w:rsidR="00EB03BB" w:rsidRPr="00EB03BB" w:rsidRDefault="00EB03BB" w:rsidP="00EB03BB">
            <w:pPr>
              <w:spacing w:line="278" w:lineRule="auto"/>
              <w:rPr>
                <w:rFonts w:ascii="Roboto" w:hAnsi="Roboto" w:cs="Segoe UI"/>
                <w:color w:val="242424"/>
                <w:sz w:val="23"/>
                <w:szCs w:val="23"/>
              </w:rPr>
            </w:pPr>
            <w:r w:rsidRPr="00EB03BB">
              <w:rPr>
                <w:rFonts w:ascii="Roboto" w:hAnsi="Roboto" w:cs="Segoe UI"/>
                <w:color w:val="242424"/>
                <w:sz w:val="23"/>
                <w:szCs w:val="23"/>
              </w:rPr>
              <w:t>The successful tenderer will be expected to validate migrated content and data against the agreed scope and acceptance criteria. This includes confirming the completeness and accuracy of migrated pages, assets and metadata, and verifying redirects, search indexing, analytics tags, links and relevant functionality.</w:t>
            </w:r>
          </w:p>
          <w:p w14:paraId="0C3DF706" w14:textId="5C14B0EA" w:rsidR="00DB328C" w:rsidRPr="00D53E20" w:rsidRDefault="00EB03BB" w:rsidP="00953F4D">
            <w:pPr>
              <w:spacing w:line="278" w:lineRule="auto"/>
              <w:rPr>
                <w:rFonts w:ascii="Roboto" w:hAnsi="Roboto" w:cs="Segoe UI"/>
                <w:color w:val="242424"/>
                <w:sz w:val="23"/>
                <w:szCs w:val="23"/>
              </w:rPr>
            </w:pPr>
            <w:r w:rsidRPr="00EB03BB">
              <w:rPr>
                <w:rFonts w:ascii="Roboto" w:hAnsi="Roboto" w:cs="Segoe UI"/>
                <w:color w:val="242424"/>
                <w:sz w:val="23"/>
                <w:szCs w:val="23"/>
              </w:rPr>
              <w:t>Tenderers should describe a robust validation and reconciliation approach. The successful tenderer must provide traceable test evidence, reconciliation results, identified exceptions and remediation outcomes before acceptance. ACARA will coordinate final acceptance with the relevant business and content owners. Detailed validation responsibilities will be agreed for each migration.</w:t>
            </w:r>
          </w:p>
        </w:tc>
      </w:tr>
      <w:tr w:rsidR="00DB328C" w:rsidRPr="00D53E20" w14:paraId="705711E3" w14:textId="77777777" w:rsidTr="16CE41F3">
        <w:trPr>
          <w:trHeight w:val="446"/>
        </w:trPr>
        <w:tc>
          <w:tcPr>
            <w:tcW w:w="1310" w:type="dxa"/>
            <w:shd w:val="clear" w:color="auto" w:fill="FFFFFF" w:themeFill="background1"/>
            <w:vAlign w:val="center"/>
          </w:tcPr>
          <w:p w14:paraId="58BDBF05" w14:textId="5B046276" w:rsidR="00DB328C" w:rsidRPr="00D53E20" w:rsidRDefault="00DB328C" w:rsidP="00CA7CE7">
            <w:pPr>
              <w:pStyle w:val="ListParagraph"/>
              <w:numPr>
                <w:ilvl w:val="0"/>
                <w:numId w:val="10"/>
              </w:numPr>
              <w:spacing w:after="0"/>
              <w:rPr>
                <w:rFonts w:ascii="Roboto" w:hAnsi="Roboto"/>
              </w:rPr>
            </w:pPr>
          </w:p>
        </w:tc>
        <w:tc>
          <w:tcPr>
            <w:tcW w:w="6340" w:type="dxa"/>
            <w:shd w:val="clear" w:color="auto" w:fill="D6E4F5"/>
          </w:tcPr>
          <w:p w14:paraId="6FEE907F" w14:textId="77777777" w:rsidR="00E37CE2" w:rsidRPr="00D53E20" w:rsidRDefault="00E37CE2" w:rsidP="005A68A3">
            <w:pPr>
              <w:spacing w:before="240" w:after="240"/>
              <w:rPr>
                <w:rFonts w:ascii="Roboto" w:hAnsi="Roboto"/>
              </w:rPr>
            </w:pPr>
            <w:r w:rsidRPr="00D53E20">
              <w:rPr>
                <w:rFonts w:ascii="Roboto" w:hAnsi="Roboto"/>
                <w:b/>
                <w:bCs/>
              </w:rPr>
              <w:t>Pricing basis and forecast:</w:t>
            </w:r>
            <w:r w:rsidRPr="00D53E20">
              <w:rPr>
                <w:rFonts w:ascii="Roboto" w:hAnsi="Roboto"/>
              </w:rPr>
              <w:t xml:space="preserve"> The RFT provides an indicative annual contract value of approximately $1 million for three years, while also stating that actual demand and total procurement may vary. Could ACARA confirm whether there is a minimum committed spend, expected annual allocation, or any minimum resource commitment?</w:t>
            </w:r>
          </w:p>
          <w:p w14:paraId="0255F7CA" w14:textId="77777777" w:rsidR="00DB328C" w:rsidRPr="00D53E20" w:rsidRDefault="00DB328C" w:rsidP="00851769">
            <w:pPr>
              <w:spacing w:line="278" w:lineRule="auto"/>
              <w:rPr>
                <w:rFonts w:ascii="Roboto" w:hAnsi="Roboto" w:cs="Segoe UI"/>
                <w:color w:val="242424"/>
                <w:sz w:val="23"/>
                <w:szCs w:val="23"/>
              </w:rPr>
            </w:pPr>
          </w:p>
        </w:tc>
        <w:tc>
          <w:tcPr>
            <w:tcW w:w="7229" w:type="dxa"/>
            <w:vAlign w:val="center"/>
          </w:tcPr>
          <w:p w14:paraId="70941C85" w14:textId="77777777" w:rsidR="00BC3F3D" w:rsidRPr="00BC3F3D" w:rsidRDefault="00BC3F3D" w:rsidP="00BC3F3D">
            <w:pPr>
              <w:spacing w:line="278" w:lineRule="auto"/>
              <w:rPr>
                <w:rFonts w:ascii="Roboto" w:hAnsi="Roboto" w:cs="Segoe UI"/>
                <w:color w:val="242424"/>
                <w:sz w:val="23"/>
                <w:szCs w:val="23"/>
              </w:rPr>
            </w:pPr>
            <w:r w:rsidRPr="00BC3F3D">
              <w:rPr>
                <w:rFonts w:ascii="Roboto" w:hAnsi="Roboto" w:cs="Segoe UI"/>
                <w:color w:val="242424"/>
                <w:sz w:val="23"/>
                <w:szCs w:val="23"/>
              </w:rPr>
              <w:t>The indicative annual contract value is provided for planning purposes only. ACARA does not guarantee any minimum spend, annual allocation, volume of work or minimum resource commitment.</w:t>
            </w:r>
          </w:p>
          <w:p w14:paraId="370FB31C" w14:textId="61299B4A" w:rsidR="00DB328C" w:rsidRPr="00D53E20" w:rsidRDefault="00BC3F3D" w:rsidP="00953F4D">
            <w:pPr>
              <w:spacing w:line="278" w:lineRule="auto"/>
              <w:rPr>
                <w:rFonts w:ascii="Roboto" w:hAnsi="Roboto" w:cs="Segoe UI"/>
                <w:color w:val="242424"/>
                <w:sz w:val="23"/>
                <w:szCs w:val="23"/>
              </w:rPr>
            </w:pPr>
            <w:r w:rsidRPr="00BC3F3D">
              <w:rPr>
                <w:rFonts w:ascii="Roboto" w:hAnsi="Roboto" w:cs="Segoe UI"/>
                <w:color w:val="242424"/>
                <w:sz w:val="23"/>
                <w:szCs w:val="23"/>
              </w:rPr>
              <w:t xml:space="preserve">Work will be commissioned according to ACARA’s operational priorities, approved funding and requirements during the contract term. Tenderers should demonstrate the capacity to respond flexibly </w:t>
            </w:r>
            <w:r w:rsidRPr="00BC3F3D">
              <w:rPr>
                <w:rFonts w:ascii="Roboto" w:hAnsi="Roboto" w:cs="Segoe UI"/>
                <w:color w:val="242424"/>
                <w:sz w:val="23"/>
                <w:szCs w:val="23"/>
              </w:rPr>
              <w:lastRenderedPageBreak/>
              <w:t>to changes in demand and to provide appropriately skilled personnel when required.</w:t>
            </w:r>
          </w:p>
        </w:tc>
      </w:tr>
      <w:tr w:rsidR="00DB328C" w:rsidRPr="00D53E20" w14:paraId="77956CA4" w14:textId="77777777" w:rsidTr="16CE41F3">
        <w:trPr>
          <w:trHeight w:val="446"/>
        </w:trPr>
        <w:tc>
          <w:tcPr>
            <w:tcW w:w="1310" w:type="dxa"/>
            <w:shd w:val="clear" w:color="auto" w:fill="FFFFFF" w:themeFill="background1"/>
            <w:vAlign w:val="center"/>
          </w:tcPr>
          <w:p w14:paraId="575624B4" w14:textId="12E749B1" w:rsidR="00DB328C" w:rsidRPr="00D53E20" w:rsidRDefault="00DB328C" w:rsidP="00CA7CE7">
            <w:pPr>
              <w:pStyle w:val="ListParagraph"/>
              <w:numPr>
                <w:ilvl w:val="0"/>
                <w:numId w:val="10"/>
              </w:numPr>
              <w:spacing w:after="0"/>
              <w:rPr>
                <w:rFonts w:ascii="Roboto" w:hAnsi="Roboto"/>
              </w:rPr>
            </w:pPr>
          </w:p>
        </w:tc>
        <w:tc>
          <w:tcPr>
            <w:tcW w:w="6340" w:type="dxa"/>
            <w:shd w:val="clear" w:color="auto" w:fill="D6E4F5"/>
          </w:tcPr>
          <w:p w14:paraId="54ACAEF7" w14:textId="77777777" w:rsidR="00C07AD7" w:rsidRPr="00D53E20" w:rsidRDefault="00C07AD7" w:rsidP="005A68A3">
            <w:pPr>
              <w:spacing w:before="240" w:after="240"/>
              <w:rPr>
                <w:rFonts w:ascii="Roboto" w:hAnsi="Roboto"/>
              </w:rPr>
            </w:pPr>
            <w:r w:rsidRPr="00D53E20">
              <w:rPr>
                <w:rFonts w:ascii="Roboto" w:hAnsi="Roboto"/>
                <w:b/>
                <w:bCs/>
              </w:rPr>
              <w:t>Pre-Approved AI Tools:</w:t>
            </w:r>
            <w:r w:rsidRPr="00D53E20">
              <w:rPr>
                <w:rFonts w:ascii="Roboto" w:hAnsi="Roboto"/>
              </w:rPr>
              <w:t xml:space="preserve"> Special Conditions require prior written approval from ACARA before using AI systems. Does ACARA maintain a pre-approved list of developer productivity tools (such as GitHub Copilot or enterprise IDE assistants), or must an approval request be submitted on a per-project/per-tool basis?</w:t>
            </w:r>
          </w:p>
          <w:p w14:paraId="1ECAF552" w14:textId="77777777" w:rsidR="00DB328C" w:rsidRPr="00D53E20" w:rsidRDefault="00DB328C" w:rsidP="00851769">
            <w:pPr>
              <w:spacing w:line="278" w:lineRule="auto"/>
              <w:rPr>
                <w:rFonts w:ascii="Roboto" w:hAnsi="Roboto" w:cs="Segoe UI"/>
                <w:color w:val="242424"/>
                <w:sz w:val="23"/>
                <w:szCs w:val="23"/>
              </w:rPr>
            </w:pPr>
          </w:p>
        </w:tc>
        <w:tc>
          <w:tcPr>
            <w:tcW w:w="7229" w:type="dxa"/>
            <w:vAlign w:val="center"/>
          </w:tcPr>
          <w:p w14:paraId="3E9F54FA" w14:textId="77777777" w:rsidR="00B91127" w:rsidRPr="00B91127" w:rsidRDefault="00B91127" w:rsidP="00B91127">
            <w:pPr>
              <w:spacing w:line="278" w:lineRule="auto"/>
              <w:rPr>
                <w:rFonts w:ascii="Roboto" w:hAnsi="Roboto" w:cs="Segoe UI"/>
                <w:color w:val="242424"/>
                <w:sz w:val="23"/>
                <w:szCs w:val="23"/>
              </w:rPr>
            </w:pPr>
            <w:r w:rsidRPr="00B91127">
              <w:rPr>
                <w:rFonts w:ascii="Roboto" w:hAnsi="Roboto" w:cs="Segoe UI"/>
                <w:color w:val="242424"/>
                <w:sz w:val="23"/>
                <w:szCs w:val="23"/>
              </w:rPr>
              <w:t>ACARA will maintain a register of approved AI systems and tools. Any AI system or tool not included on that register must receive ACARA’s prior written approval before use.</w:t>
            </w:r>
          </w:p>
          <w:p w14:paraId="6B31FBCA" w14:textId="1B2376A9" w:rsidR="00DB328C" w:rsidRPr="00D53E20" w:rsidRDefault="00B91127" w:rsidP="00953F4D">
            <w:pPr>
              <w:spacing w:line="278" w:lineRule="auto"/>
              <w:rPr>
                <w:rFonts w:ascii="Roboto" w:hAnsi="Roboto" w:cs="Segoe UI"/>
                <w:color w:val="242424"/>
                <w:sz w:val="23"/>
                <w:szCs w:val="23"/>
              </w:rPr>
            </w:pPr>
            <w:r w:rsidRPr="00B91127">
              <w:rPr>
                <w:rFonts w:ascii="Roboto" w:hAnsi="Roboto" w:cs="Segoe UI"/>
                <w:color w:val="242424"/>
                <w:sz w:val="23"/>
                <w:szCs w:val="23"/>
              </w:rPr>
              <w:t>Tenderers should identify all proposed AI systems and tools, including the intended use, information accessed or processed, hosting and data location, security and privacy controls, retention arrangements, human oversight, auditability, and confirmation that ACARA data will not be used to train external models. Approval may be subject to ACARA’s security, privacy, legal and governance assessments and may be withdrawn or made subject to conditions.</w:t>
            </w:r>
          </w:p>
        </w:tc>
      </w:tr>
      <w:tr w:rsidR="00833242" w:rsidRPr="00D53E20" w14:paraId="095F599C" w14:textId="77777777" w:rsidTr="00487409">
        <w:trPr>
          <w:trHeight w:val="446"/>
        </w:trPr>
        <w:tc>
          <w:tcPr>
            <w:tcW w:w="1310" w:type="dxa"/>
            <w:shd w:val="clear" w:color="auto" w:fill="FFFFFF" w:themeFill="background1"/>
            <w:vAlign w:val="center"/>
          </w:tcPr>
          <w:p w14:paraId="3D39153B" w14:textId="4BDFB1B0" w:rsidR="00833242" w:rsidRPr="00D53E20" w:rsidRDefault="00833242"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51F06022" w14:textId="0C06CC59" w:rsidR="00833242" w:rsidRPr="00487409" w:rsidRDefault="00833242" w:rsidP="00833242">
            <w:pPr>
              <w:spacing w:before="240" w:after="240"/>
              <w:rPr>
                <w:rFonts w:ascii="Roboto" w:hAnsi="Roboto"/>
              </w:rPr>
            </w:pPr>
            <w:r w:rsidRPr="00487409">
              <w:rPr>
                <w:rFonts w:ascii="Roboto" w:hAnsi="Roboto"/>
              </w:rPr>
              <w:t>[Confidential Question] We were able to review the ACARA Contract Outline from the Senate review and within noted there are 2 current agencies. Is this tender looking to consolidate these 2 agencies into one provider?</w:t>
            </w:r>
          </w:p>
        </w:tc>
        <w:tc>
          <w:tcPr>
            <w:tcW w:w="7229" w:type="dxa"/>
            <w:vAlign w:val="center"/>
          </w:tcPr>
          <w:p w14:paraId="0DA4E12E" w14:textId="30D2B4EF" w:rsidR="00833242" w:rsidRPr="00D53E20" w:rsidRDefault="00F55207" w:rsidP="00833242">
            <w:pPr>
              <w:spacing w:line="278" w:lineRule="auto"/>
              <w:rPr>
                <w:rFonts w:ascii="Roboto" w:hAnsi="Roboto" w:cs="Segoe UI"/>
                <w:color w:val="242424"/>
                <w:sz w:val="23"/>
                <w:szCs w:val="23"/>
              </w:rPr>
            </w:pPr>
            <w:r>
              <w:rPr>
                <w:rFonts w:ascii="Roboto" w:hAnsi="Roboto" w:cs="Segoe UI"/>
                <w:color w:val="242424"/>
                <w:sz w:val="23"/>
                <w:szCs w:val="23"/>
              </w:rPr>
              <w:t>Not relevant to this tender</w:t>
            </w:r>
            <w:r w:rsidR="008441F7">
              <w:rPr>
                <w:rFonts w:ascii="Roboto" w:hAnsi="Roboto" w:cs="Segoe UI"/>
                <w:color w:val="242424"/>
                <w:sz w:val="23"/>
                <w:szCs w:val="23"/>
              </w:rPr>
              <w:t xml:space="preserve"> request.</w:t>
            </w:r>
          </w:p>
        </w:tc>
      </w:tr>
      <w:tr w:rsidR="00833242" w:rsidRPr="00D53E20" w14:paraId="6780CDBB" w14:textId="77777777" w:rsidTr="00487409">
        <w:trPr>
          <w:trHeight w:val="446"/>
        </w:trPr>
        <w:tc>
          <w:tcPr>
            <w:tcW w:w="1310" w:type="dxa"/>
            <w:shd w:val="clear" w:color="auto" w:fill="FFFFFF" w:themeFill="background1"/>
            <w:vAlign w:val="center"/>
          </w:tcPr>
          <w:p w14:paraId="29FD7C7B" w14:textId="5B7E2A75" w:rsidR="00833242" w:rsidRPr="00D53E20" w:rsidRDefault="00833242"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7C9D471B" w14:textId="7BDA37F0" w:rsidR="00833242" w:rsidRPr="00487409" w:rsidRDefault="00833242" w:rsidP="00833242">
            <w:pPr>
              <w:spacing w:before="240" w:after="240"/>
              <w:rPr>
                <w:rFonts w:ascii="Roboto" w:hAnsi="Roboto"/>
              </w:rPr>
            </w:pPr>
            <w:r w:rsidRPr="00487409">
              <w:rPr>
                <w:rFonts w:ascii="Roboto" w:hAnsi="Roboto"/>
              </w:rPr>
              <w:t xml:space="preserve">Is the forecasted $1M </w:t>
            </w:r>
            <w:proofErr w:type="spellStart"/>
            <w:r w:rsidRPr="00487409">
              <w:rPr>
                <w:rFonts w:ascii="Roboto" w:hAnsi="Roboto"/>
              </w:rPr>
              <w:t>p.year</w:t>
            </w:r>
            <w:proofErr w:type="spellEnd"/>
            <w:r w:rsidRPr="00487409">
              <w:rPr>
                <w:rFonts w:ascii="Roboto" w:hAnsi="Roboto"/>
              </w:rPr>
              <w:t xml:space="preserve"> amount for BAU only or inclusive of the 3 x website migrations as well.</w:t>
            </w:r>
          </w:p>
        </w:tc>
        <w:tc>
          <w:tcPr>
            <w:tcW w:w="7229" w:type="dxa"/>
            <w:vAlign w:val="center"/>
          </w:tcPr>
          <w:p w14:paraId="0D099F4B" w14:textId="77777777" w:rsidR="00083814" w:rsidRPr="00083814" w:rsidRDefault="00083814" w:rsidP="00083814">
            <w:pPr>
              <w:spacing w:line="278" w:lineRule="auto"/>
              <w:rPr>
                <w:rFonts w:ascii="Roboto" w:hAnsi="Roboto" w:cs="Segoe UI"/>
                <w:color w:val="242424"/>
                <w:sz w:val="23"/>
                <w:szCs w:val="23"/>
              </w:rPr>
            </w:pPr>
            <w:r w:rsidRPr="00083814">
              <w:rPr>
                <w:rFonts w:ascii="Roboto" w:hAnsi="Roboto" w:cs="Segoe UI"/>
                <w:color w:val="242424"/>
                <w:sz w:val="23"/>
                <w:szCs w:val="23"/>
              </w:rPr>
              <w:t>The indicative annual contract value is inclusive of all services that may be commissioned under the contract, including business as usual services and website migration activities. It is provided for planning purposes only and does not represent a guaranteed spend or allocation between service categories.</w:t>
            </w:r>
          </w:p>
          <w:p w14:paraId="38BDE180" w14:textId="77EBBBC7" w:rsidR="00833242" w:rsidRPr="00D53E20" w:rsidRDefault="00083814" w:rsidP="00833242">
            <w:pPr>
              <w:spacing w:line="278" w:lineRule="auto"/>
              <w:rPr>
                <w:rFonts w:ascii="Roboto" w:hAnsi="Roboto" w:cs="Segoe UI"/>
                <w:color w:val="242424"/>
                <w:sz w:val="23"/>
                <w:szCs w:val="23"/>
              </w:rPr>
            </w:pPr>
            <w:r w:rsidRPr="00083814">
              <w:rPr>
                <w:rFonts w:ascii="Roboto" w:hAnsi="Roboto" w:cs="Segoe UI"/>
                <w:color w:val="242424"/>
                <w:sz w:val="23"/>
                <w:szCs w:val="23"/>
              </w:rPr>
              <w:t xml:space="preserve">The timing, scope and funding of individual activities will be determined by ACARA during the contract term. Tenderers should </w:t>
            </w:r>
            <w:r w:rsidRPr="00083814">
              <w:rPr>
                <w:rFonts w:ascii="Roboto" w:hAnsi="Roboto" w:cs="Segoe UI"/>
                <w:color w:val="242424"/>
                <w:sz w:val="23"/>
                <w:szCs w:val="23"/>
              </w:rPr>
              <w:lastRenderedPageBreak/>
              <w:t>demonstrate the capacity to support both ongoing services and significant migration work, including periods of concurrent demand.</w:t>
            </w:r>
          </w:p>
        </w:tc>
      </w:tr>
      <w:tr w:rsidR="00833242" w:rsidRPr="00D53E20" w14:paraId="5499A50D" w14:textId="77777777" w:rsidTr="00487409">
        <w:trPr>
          <w:trHeight w:val="446"/>
        </w:trPr>
        <w:tc>
          <w:tcPr>
            <w:tcW w:w="1310" w:type="dxa"/>
            <w:shd w:val="clear" w:color="auto" w:fill="FFFFFF" w:themeFill="background1"/>
            <w:vAlign w:val="center"/>
          </w:tcPr>
          <w:p w14:paraId="53615DCB" w14:textId="1EF51C6A" w:rsidR="00833242" w:rsidRPr="00D53E20" w:rsidRDefault="00833242"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59580CEF" w14:textId="7DA0E892" w:rsidR="00833242" w:rsidRPr="00487409" w:rsidRDefault="00833242" w:rsidP="00833242">
            <w:pPr>
              <w:spacing w:before="240" w:after="240"/>
              <w:rPr>
                <w:rFonts w:ascii="Roboto" w:hAnsi="Roboto"/>
              </w:rPr>
            </w:pPr>
            <w:r w:rsidRPr="00487409">
              <w:rPr>
                <w:rFonts w:ascii="Roboto" w:hAnsi="Roboto"/>
              </w:rPr>
              <w:t>Can the successful party expect to receive the output of the stated incumbents exit requirements: ”The plan must address incumbent handover, mobilisation, access and credential transfer, documentation, knowledge transfer, work in progress, repositories, source code, configurations, data export, third-party dependencies, continuity of critical services and reasonable assistance to ACARA or a replacement provider.” [p.42]</w:t>
            </w:r>
          </w:p>
        </w:tc>
        <w:tc>
          <w:tcPr>
            <w:tcW w:w="7229" w:type="dxa"/>
            <w:vAlign w:val="center"/>
          </w:tcPr>
          <w:p w14:paraId="2EF83A25" w14:textId="77777777" w:rsidR="0007504D" w:rsidRPr="0007504D" w:rsidRDefault="0007504D" w:rsidP="0007504D">
            <w:pPr>
              <w:spacing w:line="278" w:lineRule="auto"/>
              <w:rPr>
                <w:rFonts w:ascii="Roboto" w:hAnsi="Roboto" w:cs="Segoe UI"/>
                <w:color w:val="242424"/>
                <w:sz w:val="23"/>
                <w:szCs w:val="23"/>
              </w:rPr>
            </w:pPr>
            <w:r w:rsidRPr="0007504D">
              <w:rPr>
                <w:rFonts w:ascii="Roboto" w:hAnsi="Roboto" w:cs="Segoe UI"/>
                <w:color w:val="242424"/>
                <w:sz w:val="23"/>
                <w:szCs w:val="23"/>
              </w:rPr>
              <w:t>Yes. ACARA expects the successful tenderer to receive the available transition outputs from incumbent providers, including relevant documentation, access and credential information, repositories, source code, configurations, work in progress, data exports, dependency information and knowledge transfer materials.</w:t>
            </w:r>
          </w:p>
          <w:p w14:paraId="21F52503" w14:textId="3B750FBD" w:rsidR="00833242" w:rsidRPr="00D53E20" w:rsidRDefault="0007504D" w:rsidP="00833242">
            <w:pPr>
              <w:spacing w:line="278" w:lineRule="auto"/>
              <w:rPr>
                <w:rFonts w:ascii="Roboto" w:hAnsi="Roboto" w:cs="Segoe UI"/>
                <w:color w:val="242424"/>
                <w:sz w:val="23"/>
                <w:szCs w:val="23"/>
              </w:rPr>
            </w:pPr>
            <w:r w:rsidRPr="0007504D">
              <w:rPr>
                <w:rFonts w:ascii="Roboto" w:hAnsi="Roboto" w:cs="Segoe UI"/>
                <w:color w:val="242424"/>
                <w:sz w:val="23"/>
                <w:szCs w:val="23"/>
              </w:rPr>
              <w:t>The successful tenderer will be expected to undertake appropriate due diligence, identify gaps or risks promptly, maintain a clear transition register and demonstrate that critical services can continue without disruption. ACARA will facilitate reasonable access to incumbent providers and available materials, but tenderers should not assume that all documentation will be complete or current.</w:t>
            </w:r>
          </w:p>
        </w:tc>
      </w:tr>
      <w:tr w:rsidR="00833242" w:rsidRPr="00D53E20" w14:paraId="796BD17E" w14:textId="77777777" w:rsidTr="00487409">
        <w:trPr>
          <w:trHeight w:val="446"/>
        </w:trPr>
        <w:tc>
          <w:tcPr>
            <w:tcW w:w="1310" w:type="dxa"/>
            <w:shd w:val="clear" w:color="auto" w:fill="FFFFFF" w:themeFill="background1"/>
            <w:vAlign w:val="center"/>
          </w:tcPr>
          <w:p w14:paraId="255DD012" w14:textId="233BF20E" w:rsidR="00833242" w:rsidRPr="00D53E20" w:rsidRDefault="00833242"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1B040F0B" w14:textId="210728F2" w:rsidR="00833242" w:rsidRPr="00487409" w:rsidRDefault="00833242" w:rsidP="00833242">
            <w:pPr>
              <w:spacing w:before="240" w:after="240"/>
              <w:rPr>
                <w:rFonts w:ascii="Roboto" w:hAnsi="Roboto"/>
              </w:rPr>
            </w:pPr>
            <w:r w:rsidRPr="00487409">
              <w:rPr>
                <w:rFonts w:ascii="Roboto" w:hAnsi="Roboto"/>
              </w:rPr>
              <w:t>Can shortlisted tenderers see architecture documentation or a code quality summary for the Curriculum codebase? What automated test coverage exists today?</w:t>
            </w:r>
          </w:p>
        </w:tc>
        <w:tc>
          <w:tcPr>
            <w:tcW w:w="7229" w:type="dxa"/>
            <w:vAlign w:val="center"/>
          </w:tcPr>
          <w:p w14:paraId="55F97EB1" w14:textId="77777777" w:rsidR="00952F45" w:rsidRPr="00952F45" w:rsidRDefault="00952F45" w:rsidP="00952F45">
            <w:pPr>
              <w:spacing w:line="278" w:lineRule="auto"/>
              <w:rPr>
                <w:rFonts w:ascii="Roboto" w:hAnsi="Roboto" w:cs="Segoe UI"/>
                <w:color w:val="242424"/>
                <w:sz w:val="23"/>
                <w:szCs w:val="23"/>
              </w:rPr>
            </w:pPr>
            <w:r w:rsidRPr="00952F45">
              <w:rPr>
                <w:rFonts w:ascii="Roboto" w:hAnsi="Roboto" w:cs="Segoe UI"/>
                <w:color w:val="242424"/>
                <w:sz w:val="23"/>
                <w:szCs w:val="23"/>
              </w:rPr>
              <w:t>Detailed architecture documentation and code quality information will not be provided during the tender process. Relevant available documentation and repository access will be provided to the successful tenderer during transition, subject to ACARA’s security and access requirements.</w:t>
            </w:r>
          </w:p>
          <w:p w14:paraId="05C1DDEF" w14:textId="79D6AAB1" w:rsidR="00833242" w:rsidRPr="00D53E20" w:rsidRDefault="00952F45" w:rsidP="00833242">
            <w:pPr>
              <w:spacing w:line="278" w:lineRule="auto"/>
              <w:rPr>
                <w:rFonts w:ascii="Roboto" w:hAnsi="Roboto" w:cs="Segoe UI"/>
                <w:color w:val="242424"/>
                <w:sz w:val="23"/>
                <w:szCs w:val="23"/>
              </w:rPr>
            </w:pPr>
            <w:r w:rsidRPr="00952F45">
              <w:rPr>
                <w:rFonts w:ascii="Roboto" w:hAnsi="Roboto" w:cs="Segoe UI"/>
                <w:color w:val="242424"/>
                <w:sz w:val="23"/>
                <w:szCs w:val="23"/>
              </w:rPr>
              <w:t xml:space="preserve">Automated test coverage for the Curriculum codebase is currently limited. Tenderers should demonstrate strong experience assessing inherited codebases, establishing an evidence based quality baseline, identifying technical debt and implementing a proportionate automated testing strategy. The successful tenderer will be expected to recommend and progressively improve test </w:t>
            </w:r>
            <w:r w:rsidRPr="00952F45">
              <w:rPr>
                <w:rFonts w:ascii="Roboto" w:hAnsi="Roboto" w:cs="Segoe UI"/>
                <w:color w:val="242424"/>
                <w:sz w:val="23"/>
                <w:szCs w:val="23"/>
              </w:rPr>
              <w:lastRenderedPageBreak/>
              <w:t>coverage, with priorities and measurable targets agreed with ACARA.</w:t>
            </w:r>
          </w:p>
        </w:tc>
      </w:tr>
      <w:tr w:rsidR="00833242" w:rsidRPr="00D53E20" w14:paraId="78CCD601" w14:textId="77777777" w:rsidTr="00487409">
        <w:trPr>
          <w:trHeight w:val="446"/>
        </w:trPr>
        <w:tc>
          <w:tcPr>
            <w:tcW w:w="1310" w:type="dxa"/>
            <w:shd w:val="clear" w:color="auto" w:fill="FFFFFF" w:themeFill="background1"/>
            <w:vAlign w:val="center"/>
          </w:tcPr>
          <w:p w14:paraId="3850CD67" w14:textId="13FC0C31" w:rsidR="00833242" w:rsidRPr="00D53E20" w:rsidRDefault="00833242"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0EE4C15C" w14:textId="2ABA81CA" w:rsidR="00833242" w:rsidRPr="00487409" w:rsidRDefault="00833242" w:rsidP="00833242">
            <w:pPr>
              <w:spacing w:before="240" w:after="240"/>
              <w:rPr>
                <w:rFonts w:ascii="Roboto" w:hAnsi="Roboto"/>
              </w:rPr>
            </w:pPr>
            <w:r w:rsidRPr="00487409">
              <w:rPr>
                <w:rFonts w:ascii="Roboto" w:hAnsi="Roboto"/>
              </w:rPr>
              <w:t>Can ACARA provide the Sofia JSON schema or API contract and handover documentation? Who changes the Sofia side, and how far does "assist with troubleshooting" extend?</w:t>
            </w:r>
          </w:p>
        </w:tc>
        <w:tc>
          <w:tcPr>
            <w:tcW w:w="7229" w:type="dxa"/>
            <w:vAlign w:val="center"/>
          </w:tcPr>
          <w:p w14:paraId="78DAB132" w14:textId="561E25D5" w:rsidR="00833242" w:rsidRPr="00D53E20" w:rsidRDefault="50ED1666" w:rsidP="00833242">
            <w:pPr>
              <w:spacing w:line="278" w:lineRule="auto"/>
            </w:pPr>
            <w:r w:rsidRPr="3BFF6585">
              <w:rPr>
                <w:rFonts w:ascii="Roboto" w:hAnsi="Roboto" w:cs="Segoe UI"/>
                <w:color w:val="242424"/>
                <w:sz w:val="23"/>
                <w:szCs w:val="23"/>
              </w:rPr>
              <w:t>ACARA provide Sofia system information and support documentation. Sofia is a Software-as-a-Service (SaaS) platform managed and maintained by a third-party provider. Our responsibility is limited to reviewing and validating the data received from the Sofia platform and ensuring it is processed or delivered correctly within our systems. Troubleshooting, diagnosing, or resolving issues within the Sofia platform itself remains the responsibility of the third-party provider.</w:t>
            </w:r>
          </w:p>
        </w:tc>
      </w:tr>
      <w:tr w:rsidR="00833242" w:rsidRPr="00D53E20" w14:paraId="2EE358EF" w14:textId="77777777" w:rsidTr="00487409">
        <w:trPr>
          <w:trHeight w:val="446"/>
        </w:trPr>
        <w:tc>
          <w:tcPr>
            <w:tcW w:w="1310" w:type="dxa"/>
            <w:shd w:val="clear" w:color="auto" w:fill="FFFFFF" w:themeFill="background1"/>
            <w:vAlign w:val="center"/>
          </w:tcPr>
          <w:p w14:paraId="653AD487" w14:textId="3FB42BE4" w:rsidR="00833242" w:rsidRPr="00D53E20" w:rsidRDefault="00833242"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1CF83C1A" w14:textId="5011ECDC" w:rsidR="00833242" w:rsidRPr="00487409" w:rsidRDefault="00833242" w:rsidP="00833242">
            <w:pPr>
              <w:spacing w:before="240" w:after="240"/>
              <w:rPr>
                <w:rFonts w:ascii="Roboto" w:hAnsi="Roboto"/>
              </w:rPr>
            </w:pPr>
            <w:r w:rsidRPr="00487409">
              <w:rPr>
                <w:rFonts w:ascii="Roboto" w:hAnsi="Roboto"/>
              </w:rPr>
              <w:t>Is the Azure API and transformation layer that feeds the Curriculum and MySchool sites in our scope, or owned by ACARA or another provider?</w:t>
            </w:r>
          </w:p>
        </w:tc>
        <w:tc>
          <w:tcPr>
            <w:tcW w:w="7229" w:type="dxa"/>
            <w:vAlign w:val="center"/>
          </w:tcPr>
          <w:p w14:paraId="7A266AFD" w14:textId="08278728" w:rsidR="00833242" w:rsidRPr="00D53E20" w:rsidRDefault="7F1AC658" w:rsidP="00833242">
            <w:pPr>
              <w:spacing w:line="278" w:lineRule="auto"/>
            </w:pPr>
            <w:r w:rsidRPr="7F73FF95">
              <w:rPr>
                <w:rFonts w:ascii="Roboto" w:hAnsi="Roboto" w:cs="Segoe UI"/>
                <w:color w:val="242424"/>
                <w:sz w:val="23"/>
                <w:szCs w:val="23"/>
              </w:rPr>
              <w:t>An Azure API layer, owned and managed by ACARA which facilitates the secure delivery of personalization data and other relevant information to My School and Curriculum Websites.</w:t>
            </w:r>
          </w:p>
        </w:tc>
      </w:tr>
      <w:tr w:rsidR="00833242" w:rsidRPr="00D53E20" w14:paraId="15142F1E" w14:textId="77777777" w:rsidTr="00487409">
        <w:trPr>
          <w:trHeight w:val="446"/>
        </w:trPr>
        <w:tc>
          <w:tcPr>
            <w:tcW w:w="1310" w:type="dxa"/>
            <w:shd w:val="clear" w:color="auto" w:fill="FFFFFF" w:themeFill="background1"/>
            <w:vAlign w:val="center"/>
          </w:tcPr>
          <w:p w14:paraId="62D78763" w14:textId="510677BC" w:rsidR="00833242" w:rsidRPr="00D53E20" w:rsidRDefault="00833242"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0171D482" w14:textId="5AB8A2E4" w:rsidR="00833242" w:rsidRPr="00487409" w:rsidRDefault="00833242" w:rsidP="00833242">
            <w:pPr>
              <w:spacing w:before="240" w:after="240"/>
              <w:rPr>
                <w:rFonts w:ascii="Roboto" w:hAnsi="Roboto"/>
              </w:rPr>
            </w:pPr>
            <w:r w:rsidRPr="00487409">
              <w:rPr>
                <w:rFonts w:ascii="Roboto" w:hAnsi="Roboto"/>
              </w:rPr>
              <w:t>Can source code and non-production environments be accessed from offshore or from supplier-managed devices? Are there data location or security clearance requirements for engineers?</w:t>
            </w:r>
          </w:p>
        </w:tc>
        <w:tc>
          <w:tcPr>
            <w:tcW w:w="7229" w:type="dxa"/>
            <w:vAlign w:val="center"/>
          </w:tcPr>
          <w:p w14:paraId="6FD9D68B" w14:textId="77777777" w:rsidR="00E51EFB" w:rsidRPr="00E159F0" w:rsidRDefault="00E51EFB" w:rsidP="00E51EFB">
            <w:pPr>
              <w:spacing w:line="278" w:lineRule="auto"/>
              <w:rPr>
                <w:rFonts w:ascii="Roboto" w:hAnsi="Roboto" w:cs="Segoe UI"/>
                <w:color w:val="242424"/>
                <w:sz w:val="23"/>
                <w:szCs w:val="23"/>
              </w:rPr>
            </w:pPr>
            <w:r w:rsidRPr="00E159F0">
              <w:rPr>
                <w:rFonts w:ascii="Roboto" w:hAnsi="Roboto" w:cs="Segoe UI"/>
                <w:color w:val="242424"/>
                <w:sz w:val="23"/>
                <w:szCs w:val="23"/>
              </w:rPr>
              <w:t>Access from offshore locations may be permitted only where expressly approved by ACARA and subject to applicable security, privacy, data location and access control requirements. Access to production environments or personal, sensitive or protected information may be subject to additional restrictions and may require Australian based personnel.</w:t>
            </w:r>
          </w:p>
          <w:p w14:paraId="06F23627" w14:textId="13088CDB" w:rsidR="00833242" w:rsidRPr="00D53E20" w:rsidRDefault="00E51EFB" w:rsidP="00833242">
            <w:pPr>
              <w:spacing w:line="278" w:lineRule="auto"/>
              <w:rPr>
                <w:rFonts w:ascii="Roboto" w:hAnsi="Roboto" w:cs="Segoe UI"/>
                <w:color w:val="242424"/>
                <w:sz w:val="23"/>
                <w:szCs w:val="23"/>
              </w:rPr>
            </w:pPr>
            <w:r w:rsidRPr="00E159F0">
              <w:rPr>
                <w:rFonts w:ascii="Roboto" w:hAnsi="Roboto" w:cs="Segoe UI"/>
                <w:color w:val="242424"/>
                <w:sz w:val="23"/>
                <w:szCs w:val="23"/>
              </w:rPr>
              <w:t xml:space="preserve">Tenderers must provide and manage secure devices that comply with ACARA’s security requirements and approved access methods. Tenderers must fully disclose proposed delivery locations, devices, subcontractors and access arrangements, and demonstrate mature </w:t>
            </w:r>
            <w:r w:rsidRPr="00E159F0">
              <w:rPr>
                <w:rFonts w:ascii="Roboto" w:hAnsi="Roboto" w:cs="Segoe UI"/>
                <w:color w:val="242424"/>
                <w:sz w:val="23"/>
                <w:szCs w:val="23"/>
              </w:rPr>
              <w:lastRenderedPageBreak/>
              <w:t>identity and access management, device security, monitoring, incident response and personnel screening practices. ACARA may require background checks, security assessments or additional controls. Approval may be withheld, conditioned or withdrawn.</w:t>
            </w:r>
          </w:p>
        </w:tc>
      </w:tr>
      <w:tr w:rsidR="00833242" w:rsidRPr="00D53E20" w14:paraId="3869C2D4" w14:textId="77777777" w:rsidTr="00487409">
        <w:trPr>
          <w:trHeight w:val="446"/>
        </w:trPr>
        <w:tc>
          <w:tcPr>
            <w:tcW w:w="1310" w:type="dxa"/>
            <w:shd w:val="clear" w:color="auto" w:fill="FFFFFF" w:themeFill="background1"/>
            <w:vAlign w:val="center"/>
          </w:tcPr>
          <w:p w14:paraId="4A38B120" w14:textId="7FE0000E" w:rsidR="00833242" w:rsidRPr="00D53E20" w:rsidRDefault="00833242"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7BEFEAAB" w14:textId="5E727725" w:rsidR="00833242" w:rsidRPr="00487409" w:rsidRDefault="00833242" w:rsidP="00833242">
            <w:pPr>
              <w:spacing w:before="240" w:after="240"/>
              <w:rPr>
                <w:rFonts w:ascii="Roboto" w:hAnsi="Roboto"/>
              </w:rPr>
            </w:pPr>
            <w:r w:rsidRPr="00487409">
              <w:rPr>
                <w:rFonts w:ascii="Roboto" w:hAnsi="Roboto"/>
              </w:rPr>
              <w:t>Can ACARA provide the non-functional requirements, the QA standards and metrics the ICT Test Lead will apply, and the "Project Brief" and "Scope Summary" referenced in the Testing section?</w:t>
            </w:r>
          </w:p>
        </w:tc>
        <w:tc>
          <w:tcPr>
            <w:tcW w:w="7229" w:type="dxa"/>
            <w:vAlign w:val="center"/>
          </w:tcPr>
          <w:p w14:paraId="7AF4DBB7" w14:textId="77777777" w:rsidR="00E47099" w:rsidRPr="00E47099" w:rsidRDefault="00E47099" w:rsidP="00E47099">
            <w:pPr>
              <w:spacing w:line="278" w:lineRule="auto"/>
              <w:rPr>
                <w:rFonts w:ascii="Roboto" w:hAnsi="Roboto" w:cs="Segoe UI"/>
                <w:color w:val="242424"/>
                <w:sz w:val="23"/>
                <w:szCs w:val="23"/>
              </w:rPr>
            </w:pPr>
            <w:r w:rsidRPr="00E47099">
              <w:rPr>
                <w:rFonts w:ascii="Roboto" w:hAnsi="Roboto" w:cs="Segoe UI"/>
                <w:color w:val="242424"/>
                <w:sz w:val="23"/>
                <w:szCs w:val="23"/>
              </w:rPr>
              <w:t xml:space="preserve">The requested </w:t>
            </w:r>
            <w:proofErr w:type="spellStart"/>
            <w:r w:rsidRPr="00E47099">
              <w:rPr>
                <w:rFonts w:ascii="Roboto" w:hAnsi="Roboto" w:cs="Segoe UI"/>
                <w:color w:val="242424"/>
                <w:sz w:val="23"/>
                <w:szCs w:val="23"/>
              </w:rPr>
              <w:t>non functional</w:t>
            </w:r>
            <w:proofErr w:type="spellEnd"/>
            <w:r w:rsidRPr="00E47099">
              <w:rPr>
                <w:rFonts w:ascii="Roboto" w:hAnsi="Roboto" w:cs="Segoe UI"/>
                <w:color w:val="242424"/>
                <w:sz w:val="23"/>
                <w:szCs w:val="23"/>
              </w:rPr>
              <w:t xml:space="preserve"> requirements, quality assurance standards, metrics, Project Brief and Scope Summary will not be provided during the tender process and are not required for tender submission.</w:t>
            </w:r>
          </w:p>
          <w:p w14:paraId="3E0A9E5A" w14:textId="23782110" w:rsidR="00833242" w:rsidRPr="00D53E20" w:rsidRDefault="00E47099" w:rsidP="00833242">
            <w:pPr>
              <w:spacing w:line="278" w:lineRule="auto"/>
              <w:rPr>
                <w:rFonts w:ascii="Roboto" w:hAnsi="Roboto" w:cs="Segoe UI"/>
                <w:color w:val="242424"/>
                <w:sz w:val="23"/>
                <w:szCs w:val="23"/>
              </w:rPr>
            </w:pPr>
            <w:r w:rsidRPr="00E47099">
              <w:rPr>
                <w:rFonts w:ascii="Roboto" w:hAnsi="Roboto" w:cs="Segoe UI"/>
                <w:color w:val="242424"/>
                <w:sz w:val="23"/>
                <w:szCs w:val="23"/>
              </w:rPr>
              <w:t xml:space="preserve">These requirements and artefacts will be developed or confirmed for each work package. Tenderers should demonstrate a mature approach to defining measurable </w:t>
            </w:r>
            <w:proofErr w:type="spellStart"/>
            <w:r w:rsidRPr="00E47099">
              <w:rPr>
                <w:rFonts w:ascii="Roboto" w:hAnsi="Roboto" w:cs="Segoe UI"/>
                <w:color w:val="242424"/>
                <w:sz w:val="23"/>
                <w:szCs w:val="23"/>
              </w:rPr>
              <w:t>non functional</w:t>
            </w:r>
            <w:proofErr w:type="spellEnd"/>
            <w:r w:rsidRPr="00E47099">
              <w:rPr>
                <w:rFonts w:ascii="Roboto" w:hAnsi="Roboto" w:cs="Segoe UI"/>
                <w:color w:val="242424"/>
                <w:sz w:val="23"/>
                <w:szCs w:val="23"/>
              </w:rPr>
              <w:t xml:space="preserve"> requirements, quality standards, acceptance criteria and test metrics in collaboration with ACARA. The successful tenderer will be expected to produce clear, traceable and auditable test evidence suitable for review by ACARA’s ICT Test Lead.</w:t>
            </w:r>
          </w:p>
        </w:tc>
      </w:tr>
      <w:tr w:rsidR="00833242" w:rsidRPr="00D53E20" w14:paraId="13E9048B" w14:textId="77777777" w:rsidTr="00487409">
        <w:trPr>
          <w:trHeight w:val="446"/>
        </w:trPr>
        <w:tc>
          <w:tcPr>
            <w:tcW w:w="1310" w:type="dxa"/>
            <w:shd w:val="clear" w:color="auto" w:fill="FFFFFF" w:themeFill="background1"/>
            <w:vAlign w:val="center"/>
          </w:tcPr>
          <w:p w14:paraId="4C641A94" w14:textId="3A89DB18" w:rsidR="00833242" w:rsidRPr="00D53E20" w:rsidRDefault="00833242"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375C7842" w14:textId="6851B1A9" w:rsidR="00833242" w:rsidRPr="00487409" w:rsidRDefault="00833242" w:rsidP="00833242">
            <w:pPr>
              <w:spacing w:before="240" w:after="240"/>
              <w:rPr>
                <w:rFonts w:ascii="Roboto" w:hAnsi="Roboto"/>
              </w:rPr>
            </w:pPr>
            <w:r w:rsidRPr="00487409">
              <w:rPr>
                <w:rFonts w:ascii="Roboto" w:hAnsi="Roboto"/>
              </w:rPr>
              <w:t xml:space="preserve">Are the </w:t>
            </w:r>
            <w:proofErr w:type="spellStart"/>
            <w:r w:rsidRPr="00487409">
              <w:rPr>
                <w:rFonts w:ascii="Roboto" w:hAnsi="Roboto"/>
              </w:rPr>
              <w:t>Solr</w:t>
            </w:r>
            <w:proofErr w:type="spellEnd"/>
            <w:r w:rsidRPr="00487409">
              <w:rPr>
                <w:rFonts w:ascii="Roboto" w:hAnsi="Roboto"/>
              </w:rPr>
              <w:t xml:space="preserve"> schema and index configuration in our scope?</w:t>
            </w:r>
          </w:p>
        </w:tc>
        <w:tc>
          <w:tcPr>
            <w:tcW w:w="7229" w:type="dxa"/>
            <w:vAlign w:val="center"/>
          </w:tcPr>
          <w:p w14:paraId="717E434E" w14:textId="3A6FCCFE" w:rsidR="00833242" w:rsidRPr="00D53E20" w:rsidRDefault="43B519F3" w:rsidP="00833242">
            <w:pPr>
              <w:spacing w:line="278" w:lineRule="auto"/>
            </w:pPr>
            <w:r w:rsidRPr="63B44151">
              <w:rPr>
                <w:rFonts w:ascii="Roboto" w:hAnsi="Roboto" w:cs="Segoe UI"/>
                <w:color w:val="242424"/>
                <w:sz w:val="23"/>
                <w:szCs w:val="23"/>
              </w:rPr>
              <w:t xml:space="preserve">MCARA maintain the </w:t>
            </w:r>
            <w:proofErr w:type="spellStart"/>
            <w:r w:rsidRPr="63B44151">
              <w:rPr>
                <w:rFonts w:ascii="Roboto" w:hAnsi="Roboto" w:cs="Segoe UI"/>
                <w:color w:val="242424"/>
                <w:sz w:val="23"/>
                <w:szCs w:val="23"/>
              </w:rPr>
              <w:t>Solr</w:t>
            </w:r>
            <w:proofErr w:type="spellEnd"/>
            <w:r w:rsidRPr="63B44151">
              <w:rPr>
                <w:rFonts w:ascii="Roboto" w:hAnsi="Roboto" w:cs="Segoe UI"/>
                <w:color w:val="242424"/>
                <w:sz w:val="23"/>
                <w:szCs w:val="23"/>
              </w:rPr>
              <w:t xml:space="preserve"> schema and index configurations for both My School and Curriculum websites. These existing configurations can be extended or used as a baseline when developing new websites, depending on their specific requirements. Reusing and adapting the existing schema and indexing configurations where appropriate will promote consistency, reduce duplication of effort, and minimize development and maintenance overhead while ensuring the new websites meet their search and data indexing requirements.</w:t>
            </w:r>
          </w:p>
        </w:tc>
      </w:tr>
      <w:tr w:rsidR="00DB009A" w:rsidRPr="00D53E20" w14:paraId="440C658C" w14:textId="77777777" w:rsidTr="00487409">
        <w:trPr>
          <w:trHeight w:val="446"/>
        </w:trPr>
        <w:tc>
          <w:tcPr>
            <w:tcW w:w="1310" w:type="dxa"/>
            <w:shd w:val="clear" w:color="auto" w:fill="FFFFFF" w:themeFill="background1"/>
            <w:vAlign w:val="center"/>
          </w:tcPr>
          <w:p w14:paraId="6D60100D" w14:textId="6136D681" w:rsidR="00DB009A" w:rsidRPr="00D53E20" w:rsidRDefault="00DB009A"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1954AE79" w14:textId="7959BEF2" w:rsidR="00DB009A" w:rsidRPr="00487409" w:rsidRDefault="00DB009A" w:rsidP="00DB009A">
            <w:pPr>
              <w:spacing w:before="240" w:after="240"/>
              <w:rPr>
                <w:rFonts w:ascii="Roboto" w:hAnsi="Roboto"/>
              </w:rPr>
            </w:pPr>
            <w:r w:rsidRPr="00487409">
              <w:rPr>
                <w:rFonts w:ascii="Roboto" w:hAnsi="Roboto"/>
              </w:rPr>
              <w:t>Who manages Cloudflare rules and cache purges where Cloudflare sits in front of Adobe's CDN?</w:t>
            </w:r>
          </w:p>
        </w:tc>
        <w:tc>
          <w:tcPr>
            <w:tcW w:w="7229" w:type="dxa"/>
            <w:vAlign w:val="center"/>
          </w:tcPr>
          <w:p w14:paraId="60B61339" w14:textId="27E77777" w:rsidR="00DB009A" w:rsidRPr="00D53E20" w:rsidRDefault="4A1E3B03" w:rsidP="00DB009A">
            <w:pPr>
              <w:spacing w:line="278" w:lineRule="auto"/>
            </w:pPr>
            <w:r w:rsidRPr="62945A77">
              <w:rPr>
                <w:rFonts w:ascii="Roboto" w:hAnsi="Roboto" w:cs="Segoe UI"/>
                <w:color w:val="242424"/>
                <w:sz w:val="23"/>
                <w:szCs w:val="23"/>
              </w:rPr>
              <w:t>ACARA manage and maintain all Cloudflare configurations and rules, including cache purging, CDN configuration, and related operational activities.</w:t>
            </w:r>
          </w:p>
        </w:tc>
      </w:tr>
      <w:tr w:rsidR="00DB009A" w:rsidRPr="00D53E20" w14:paraId="74473D09" w14:textId="77777777" w:rsidTr="00487409">
        <w:trPr>
          <w:trHeight w:val="446"/>
        </w:trPr>
        <w:tc>
          <w:tcPr>
            <w:tcW w:w="1310" w:type="dxa"/>
            <w:shd w:val="clear" w:color="auto" w:fill="FFFFFF" w:themeFill="background1"/>
            <w:vAlign w:val="center"/>
          </w:tcPr>
          <w:p w14:paraId="2AA07EA8" w14:textId="1666A5CC" w:rsidR="00DB009A" w:rsidRPr="00D53E20" w:rsidRDefault="00DB009A"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6A27C1DB" w14:textId="02FF36DD" w:rsidR="00DB009A" w:rsidRPr="00487409" w:rsidRDefault="00DB009A" w:rsidP="00DB009A">
            <w:pPr>
              <w:spacing w:before="240" w:after="240"/>
              <w:rPr>
                <w:rFonts w:ascii="Roboto" w:hAnsi="Roboto"/>
              </w:rPr>
            </w:pPr>
            <w:r w:rsidRPr="00487409">
              <w:rPr>
                <w:rFonts w:ascii="Roboto" w:hAnsi="Roboto"/>
              </w:rPr>
              <w:t>Which AI coding tools, if any, would ACARA approve (for example enterprise tools that do not train on customer data)?</w:t>
            </w:r>
          </w:p>
        </w:tc>
        <w:tc>
          <w:tcPr>
            <w:tcW w:w="7229" w:type="dxa"/>
            <w:vAlign w:val="center"/>
          </w:tcPr>
          <w:p w14:paraId="3B683FDA" w14:textId="77777777" w:rsidR="0020082F" w:rsidRPr="0020082F" w:rsidRDefault="0020082F" w:rsidP="0020082F">
            <w:pPr>
              <w:spacing w:line="278" w:lineRule="auto"/>
              <w:rPr>
                <w:rFonts w:ascii="Roboto" w:hAnsi="Roboto" w:cs="Segoe UI"/>
                <w:color w:val="242424"/>
                <w:sz w:val="23"/>
                <w:szCs w:val="23"/>
              </w:rPr>
            </w:pPr>
            <w:r w:rsidRPr="0020082F">
              <w:rPr>
                <w:rFonts w:ascii="Roboto" w:hAnsi="Roboto" w:cs="Segoe UI"/>
                <w:color w:val="242424"/>
                <w:sz w:val="23"/>
                <w:szCs w:val="23"/>
              </w:rPr>
              <w:t>ACARA will maintain a register of approved AI systems and tools. Tenderers should not assume that any particular AI coding tool is approved. Any proposed tool not included on the register must receive ACARA’s prior written approval before use.</w:t>
            </w:r>
          </w:p>
          <w:p w14:paraId="1244CBB3" w14:textId="4B1D43E2" w:rsidR="00DB009A" w:rsidRPr="00D53E20" w:rsidRDefault="0020082F" w:rsidP="00DB009A">
            <w:pPr>
              <w:spacing w:line="278" w:lineRule="auto"/>
              <w:rPr>
                <w:rFonts w:ascii="Roboto" w:hAnsi="Roboto" w:cs="Segoe UI"/>
                <w:color w:val="242424"/>
                <w:sz w:val="23"/>
                <w:szCs w:val="23"/>
              </w:rPr>
            </w:pPr>
            <w:r w:rsidRPr="0020082F">
              <w:rPr>
                <w:rFonts w:ascii="Roboto" w:hAnsi="Roboto" w:cs="Segoe UI"/>
                <w:color w:val="242424"/>
                <w:sz w:val="23"/>
                <w:szCs w:val="23"/>
              </w:rPr>
              <w:t>Tenderers must identify all proposed AI coding tools and provide sufficient information for assessment, including intended use, data handling, hosting and data location, security and privacy controls, retention, human oversight, auditability, and confirmation that ACARA data and source code will not be used to train external models. Approval may be subject to conditions and may be withheld or withdrawn.</w:t>
            </w:r>
          </w:p>
        </w:tc>
      </w:tr>
      <w:tr w:rsidR="00DB009A" w:rsidRPr="00D53E20" w14:paraId="45652D27" w14:textId="77777777" w:rsidTr="00487409">
        <w:trPr>
          <w:trHeight w:val="446"/>
        </w:trPr>
        <w:tc>
          <w:tcPr>
            <w:tcW w:w="1310" w:type="dxa"/>
            <w:shd w:val="clear" w:color="auto" w:fill="FFFFFF" w:themeFill="background1"/>
            <w:vAlign w:val="center"/>
          </w:tcPr>
          <w:p w14:paraId="6BFD6626" w14:textId="28470FDE" w:rsidR="00DB009A" w:rsidRPr="00D53E20" w:rsidRDefault="00DB009A"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73449E96" w14:textId="13E873F6" w:rsidR="00DB009A" w:rsidRPr="00487409" w:rsidRDefault="00DB009A" w:rsidP="00DB009A">
            <w:pPr>
              <w:spacing w:before="240" w:after="240"/>
              <w:rPr>
                <w:rFonts w:ascii="Roboto" w:hAnsi="Roboto"/>
              </w:rPr>
            </w:pPr>
            <w:r w:rsidRPr="00487409">
              <w:rPr>
                <w:rFonts w:ascii="Roboto" w:hAnsi="Roboto"/>
              </w:rPr>
              <w:t>Which accessibility standard applies: WCAG 2.1 AA or WCAG 2.2 AA?</w:t>
            </w:r>
          </w:p>
        </w:tc>
        <w:tc>
          <w:tcPr>
            <w:tcW w:w="7229" w:type="dxa"/>
            <w:vAlign w:val="center"/>
          </w:tcPr>
          <w:p w14:paraId="6AABDEFB" w14:textId="77777777" w:rsidR="00392EF9" w:rsidRPr="00392EF9" w:rsidRDefault="00392EF9" w:rsidP="00392EF9">
            <w:pPr>
              <w:spacing w:line="278" w:lineRule="auto"/>
              <w:rPr>
                <w:rFonts w:ascii="Roboto" w:hAnsi="Roboto" w:cs="Segoe UI"/>
                <w:color w:val="242424"/>
                <w:sz w:val="23"/>
                <w:szCs w:val="23"/>
              </w:rPr>
            </w:pPr>
            <w:r w:rsidRPr="00392EF9">
              <w:rPr>
                <w:rFonts w:ascii="Roboto" w:hAnsi="Roboto" w:cs="Segoe UI"/>
                <w:color w:val="242424"/>
                <w:sz w:val="23"/>
                <w:szCs w:val="23"/>
              </w:rPr>
              <w:t>WCAG 2.2 Level AA applies to all relevant deliverables, together with applicable Australian Government accessibility requirements.</w:t>
            </w:r>
          </w:p>
          <w:p w14:paraId="2A84D828" w14:textId="7FB435F6" w:rsidR="00DB009A" w:rsidRPr="00D53E20" w:rsidRDefault="00392EF9" w:rsidP="00DB009A">
            <w:pPr>
              <w:spacing w:line="278" w:lineRule="auto"/>
              <w:rPr>
                <w:rFonts w:ascii="Roboto" w:hAnsi="Roboto" w:cs="Segoe UI"/>
                <w:color w:val="242424"/>
                <w:sz w:val="23"/>
                <w:szCs w:val="23"/>
              </w:rPr>
            </w:pPr>
            <w:r w:rsidRPr="00392EF9">
              <w:rPr>
                <w:rFonts w:ascii="Roboto" w:hAnsi="Roboto" w:cs="Segoe UI"/>
                <w:color w:val="242424"/>
                <w:sz w:val="23"/>
                <w:szCs w:val="23"/>
              </w:rPr>
              <w:t>Tenderers must demonstrate relevant capability and experience delivering to this standard. Compliance must be supported by automated and manual testing, including keyboard navigation, screen reader and other relevant assistive technology testing. Test results, identified issues, remediation actions and verification evidence must be documented for ACARA’s review before release</w:t>
            </w:r>
          </w:p>
        </w:tc>
      </w:tr>
      <w:tr w:rsidR="00DB009A" w:rsidRPr="00D53E20" w14:paraId="56999221" w14:textId="77777777" w:rsidTr="00487409">
        <w:trPr>
          <w:trHeight w:val="446"/>
        </w:trPr>
        <w:tc>
          <w:tcPr>
            <w:tcW w:w="1310" w:type="dxa"/>
            <w:shd w:val="clear" w:color="auto" w:fill="FFFFFF" w:themeFill="background1"/>
            <w:vAlign w:val="center"/>
          </w:tcPr>
          <w:p w14:paraId="57060ABE" w14:textId="6DC5D4DC" w:rsidR="00DB009A" w:rsidRPr="00D53E20" w:rsidRDefault="00DB009A"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1DD6FC95" w14:textId="62BB84DC" w:rsidR="00DB009A" w:rsidRPr="00487409" w:rsidRDefault="00DB009A" w:rsidP="00DB009A">
            <w:pPr>
              <w:spacing w:before="240" w:after="240"/>
              <w:rPr>
                <w:rFonts w:ascii="Roboto" w:hAnsi="Roboto"/>
              </w:rPr>
            </w:pPr>
            <w:r w:rsidRPr="00487409">
              <w:rPr>
                <w:rFonts w:ascii="Roboto" w:hAnsi="Roboto"/>
              </w:rPr>
              <w:t>Are there any specific outcomes ACARA is hoping to achieve with these migrations?</w:t>
            </w:r>
          </w:p>
        </w:tc>
        <w:tc>
          <w:tcPr>
            <w:tcW w:w="7229" w:type="dxa"/>
            <w:vAlign w:val="center"/>
          </w:tcPr>
          <w:p w14:paraId="689F8B43" w14:textId="77777777" w:rsidR="001E29B6" w:rsidRPr="001E29B6" w:rsidRDefault="001E29B6" w:rsidP="001E29B6">
            <w:pPr>
              <w:spacing w:line="278" w:lineRule="auto"/>
              <w:rPr>
                <w:rFonts w:ascii="Roboto" w:hAnsi="Roboto" w:cs="Segoe UI"/>
                <w:color w:val="242424"/>
                <w:sz w:val="23"/>
                <w:szCs w:val="23"/>
              </w:rPr>
            </w:pPr>
            <w:r w:rsidRPr="001E29B6">
              <w:rPr>
                <w:rFonts w:ascii="Roboto" w:hAnsi="Roboto" w:cs="Segoe UI"/>
                <w:color w:val="242424"/>
                <w:sz w:val="23"/>
                <w:szCs w:val="23"/>
              </w:rPr>
              <w:t>ACARA expects the migrations to deliver measurable improvements rather than a like for like replacement. Outcomes include improved user experience, accessibility, performance, security, reliability, maintainability, search effectiveness and content management efficiency, together with reduced technical debt and greater reuse of AEM components.</w:t>
            </w:r>
          </w:p>
          <w:p w14:paraId="5BA4A6A3" w14:textId="24E3281C" w:rsidR="00DB009A" w:rsidRPr="00D53E20" w:rsidRDefault="001E29B6" w:rsidP="00DB009A">
            <w:pPr>
              <w:spacing w:line="278" w:lineRule="auto"/>
              <w:rPr>
                <w:rFonts w:ascii="Roboto" w:hAnsi="Roboto" w:cs="Segoe UI"/>
                <w:color w:val="242424"/>
                <w:sz w:val="23"/>
                <w:szCs w:val="23"/>
              </w:rPr>
            </w:pPr>
            <w:r w:rsidRPr="001E29B6">
              <w:rPr>
                <w:rFonts w:ascii="Roboto" w:hAnsi="Roboto" w:cs="Segoe UI"/>
                <w:color w:val="242424"/>
                <w:sz w:val="23"/>
                <w:szCs w:val="23"/>
              </w:rPr>
              <w:t>Tenderers should demonstrate experience delivering comparable outcomes and describe how they establish baselines, define success measures and verify benefits after release. Specific priorities, measures and acceptance criteria will be agreed for each migration.</w:t>
            </w:r>
          </w:p>
        </w:tc>
      </w:tr>
      <w:tr w:rsidR="00DB009A" w:rsidRPr="00D53E20" w14:paraId="14EED1BD" w14:textId="77777777" w:rsidTr="00487409">
        <w:trPr>
          <w:trHeight w:val="446"/>
        </w:trPr>
        <w:tc>
          <w:tcPr>
            <w:tcW w:w="1310" w:type="dxa"/>
            <w:shd w:val="clear" w:color="auto" w:fill="FFFFFF" w:themeFill="background1"/>
            <w:vAlign w:val="center"/>
          </w:tcPr>
          <w:p w14:paraId="5C87F0CD" w14:textId="4C9A2E0D" w:rsidR="00DB009A" w:rsidRPr="00D53E20" w:rsidRDefault="00DB009A"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662DC921" w14:textId="4EE4C60F" w:rsidR="00DB009A" w:rsidRPr="00487409" w:rsidRDefault="00DB009A" w:rsidP="00DB009A">
            <w:pPr>
              <w:spacing w:before="240" w:after="240"/>
              <w:rPr>
                <w:rFonts w:ascii="Roboto" w:hAnsi="Roboto"/>
              </w:rPr>
            </w:pPr>
            <w:r w:rsidRPr="00487409">
              <w:rPr>
                <w:rFonts w:ascii="Roboto" w:hAnsi="Roboto"/>
              </w:rPr>
              <w:t>Why was AEM the CMS of choice originally?</w:t>
            </w:r>
          </w:p>
        </w:tc>
        <w:tc>
          <w:tcPr>
            <w:tcW w:w="7229" w:type="dxa"/>
            <w:vAlign w:val="center"/>
          </w:tcPr>
          <w:p w14:paraId="0589DCF8" w14:textId="573A9777" w:rsidR="00DB009A" w:rsidRPr="00D53E20" w:rsidRDefault="007751E8" w:rsidP="00DB009A">
            <w:pPr>
              <w:spacing w:line="278" w:lineRule="auto"/>
              <w:rPr>
                <w:rFonts w:ascii="Roboto" w:hAnsi="Roboto" w:cs="Segoe UI"/>
                <w:color w:val="242424"/>
                <w:sz w:val="23"/>
                <w:szCs w:val="23"/>
              </w:rPr>
            </w:pPr>
            <w:r>
              <w:rPr>
                <w:rFonts w:ascii="Roboto" w:hAnsi="Roboto" w:cs="Segoe UI"/>
                <w:color w:val="242424"/>
                <w:sz w:val="23"/>
                <w:szCs w:val="23"/>
              </w:rPr>
              <w:t>Not relevant to this tender.</w:t>
            </w:r>
          </w:p>
        </w:tc>
      </w:tr>
      <w:tr w:rsidR="00DB009A" w:rsidRPr="00D53E20" w14:paraId="7905B8DF" w14:textId="77777777" w:rsidTr="00487409">
        <w:trPr>
          <w:trHeight w:val="446"/>
        </w:trPr>
        <w:tc>
          <w:tcPr>
            <w:tcW w:w="1310" w:type="dxa"/>
            <w:shd w:val="clear" w:color="auto" w:fill="FFFFFF" w:themeFill="background1"/>
            <w:vAlign w:val="center"/>
          </w:tcPr>
          <w:p w14:paraId="0A1AEC58" w14:textId="69227BB3" w:rsidR="00DB009A" w:rsidRPr="00D53E20" w:rsidRDefault="00DB009A"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45E99375" w14:textId="420B718B" w:rsidR="00DB009A" w:rsidRPr="00487409" w:rsidRDefault="00DB009A" w:rsidP="00DB009A">
            <w:pPr>
              <w:spacing w:before="240" w:after="240"/>
              <w:rPr>
                <w:rFonts w:ascii="Roboto" w:hAnsi="Roboto"/>
              </w:rPr>
            </w:pPr>
            <w:r w:rsidRPr="00487409">
              <w:rPr>
                <w:rFonts w:ascii="Roboto" w:hAnsi="Roboto"/>
              </w:rPr>
              <w:t>What is the rough number tickets raised through BAU on a weekly/monthly basis per already migrated site?</w:t>
            </w:r>
          </w:p>
        </w:tc>
        <w:tc>
          <w:tcPr>
            <w:tcW w:w="7229" w:type="dxa"/>
            <w:vAlign w:val="center"/>
          </w:tcPr>
          <w:p w14:paraId="2CCABEC8" w14:textId="264EB34A" w:rsidR="00DB009A" w:rsidRPr="00D53E20" w:rsidRDefault="1BFA1234" w:rsidP="00DB009A">
            <w:pPr>
              <w:spacing w:line="278" w:lineRule="auto"/>
            </w:pPr>
            <w:r w:rsidRPr="360D980E">
              <w:rPr>
                <w:rFonts w:ascii="Roboto" w:hAnsi="Roboto" w:cs="Segoe UI"/>
                <w:color w:val="242424"/>
                <w:sz w:val="23"/>
                <w:szCs w:val="23"/>
              </w:rPr>
              <w:t xml:space="preserve">Between </w:t>
            </w:r>
            <w:r w:rsidRPr="5F7AF276">
              <w:rPr>
                <w:rFonts w:ascii="Roboto" w:hAnsi="Roboto" w:cs="Segoe UI"/>
                <w:color w:val="242424"/>
                <w:sz w:val="23"/>
                <w:szCs w:val="23"/>
              </w:rPr>
              <w:t>50 to</w:t>
            </w:r>
            <w:r w:rsidRPr="360D980E">
              <w:rPr>
                <w:rFonts w:ascii="Roboto" w:hAnsi="Roboto" w:cs="Segoe UI"/>
                <w:color w:val="242424"/>
                <w:sz w:val="23"/>
                <w:szCs w:val="23"/>
              </w:rPr>
              <w:t xml:space="preserve"> 75 tickets per month</w:t>
            </w:r>
            <w:r w:rsidRPr="5F7AF276">
              <w:rPr>
                <w:rFonts w:ascii="Roboto" w:hAnsi="Roboto" w:cs="Segoe UI"/>
                <w:color w:val="242424"/>
                <w:sz w:val="23"/>
                <w:szCs w:val="23"/>
              </w:rPr>
              <w:t>.</w:t>
            </w:r>
          </w:p>
        </w:tc>
      </w:tr>
      <w:tr w:rsidR="00DB009A" w:rsidRPr="00D53E20" w14:paraId="1275018A" w14:textId="77777777" w:rsidTr="00487409">
        <w:trPr>
          <w:trHeight w:val="446"/>
        </w:trPr>
        <w:tc>
          <w:tcPr>
            <w:tcW w:w="1310" w:type="dxa"/>
            <w:shd w:val="clear" w:color="auto" w:fill="FFFFFF" w:themeFill="background1"/>
            <w:vAlign w:val="center"/>
          </w:tcPr>
          <w:p w14:paraId="6B924862" w14:textId="5F0A0AF8" w:rsidR="00DB009A" w:rsidRPr="00D53E20" w:rsidRDefault="00DB009A"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65EFBDBA" w14:textId="4C0FB138" w:rsidR="00DB009A" w:rsidRPr="00487409" w:rsidRDefault="00DB009A" w:rsidP="00DB009A">
            <w:pPr>
              <w:spacing w:before="240" w:after="240"/>
              <w:rPr>
                <w:rFonts w:ascii="Roboto" w:hAnsi="Roboto"/>
              </w:rPr>
            </w:pPr>
            <w:r w:rsidRPr="00487409">
              <w:rPr>
                <w:rFonts w:ascii="Roboto" w:hAnsi="Roboto"/>
              </w:rPr>
              <w:t>Of the forecast of around $1M a year, roughly how much is BAU and how much is the migration work? Which of the three migrations are currently funded and approved?</w:t>
            </w:r>
          </w:p>
        </w:tc>
        <w:tc>
          <w:tcPr>
            <w:tcW w:w="7229" w:type="dxa"/>
            <w:vAlign w:val="center"/>
          </w:tcPr>
          <w:p w14:paraId="442DA423" w14:textId="77777777" w:rsidR="00B43D2D" w:rsidRPr="00B43D2D" w:rsidRDefault="00B43D2D" w:rsidP="00B43D2D">
            <w:pPr>
              <w:spacing w:line="278" w:lineRule="auto"/>
              <w:rPr>
                <w:rFonts w:ascii="Roboto" w:hAnsi="Roboto" w:cs="Segoe UI"/>
                <w:color w:val="242424"/>
                <w:sz w:val="23"/>
                <w:szCs w:val="23"/>
              </w:rPr>
            </w:pPr>
            <w:r w:rsidRPr="00B43D2D">
              <w:rPr>
                <w:rFonts w:ascii="Roboto" w:hAnsi="Roboto" w:cs="Segoe UI"/>
                <w:color w:val="242424"/>
                <w:sz w:val="23"/>
                <w:szCs w:val="23"/>
              </w:rPr>
              <w:t>ACARA cannot provide a fixed allocation between business as usual services and migration activities. The indicative annual contract value covers all services that may be commissioned and is not a guaranteed spend.</w:t>
            </w:r>
          </w:p>
          <w:p w14:paraId="394E7897" w14:textId="25FE9DB8" w:rsidR="00DB009A" w:rsidRPr="00D53E20" w:rsidRDefault="00B43D2D" w:rsidP="00DB009A">
            <w:pPr>
              <w:spacing w:line="278" w:lineRule="auto"/>
              <w:rPr>
                <w:rFonts w:ascii="Roboto" w:hAnsi="Roboto" w:cs="Segoe UI"/>
                <w:color w:val="242424"/>
                <w:sz w:val="23"/>
                <w:szCs w:val="23"/>
              </w:rPr>
            </w:pPr>
            <w:r w:rsidRPr="00B43D2D">
              <w:rPr>
                <w:rFonts w:ascii="Roboto" w:hAnsi="Roboto" w:cs="Segoe UI"/>
                <w:color w:val="242424"/>
                <w:sz w:val="23"/>
                <w:szCs w:val="23"/>
              </w:rPr>
              <w:t xml:space="preserve">Funding and approval for each migration will be determined through ACARA’s governance and budget processes. Tenderers should not assume that any migration is committed or will commence at a particular time. Tenderers must demonstrate the capacity to support </w:t>
            </w:r>
            <w:r w:rsidRPr="00B43D2D">
              <w:rPr>
                <w:rFonts w:ascii="Roboto" w:hAnsi="Roboto" w:cs="Segoe UI"/>
                <w:color w:val="242424"/>
                <w:sz w:val="23"/>
                <w:szCs w:val="23"/>
              </w:rPr>
              <w:lastRenderedPageBreak/>
              <w:t>changing priorities, variable demand and concurrent business as usual and migration activities when required.</w:t>
            </w:r>
          </w:p>
        </w:tc>
      </w:tr>
      <w:tr w:rsidR="00DB009A" w:rsidRPr="00D53E20" w14:paraId="3DCD8885" w14:textId="77777777" w:rsidTr="00487409">
        <w:trPr>
          <w:trHeight w:val="446"/>
        </w:trPr>
        <w:tc>
          <w:tcPr>
            <w:tcW w:w="1310" w:type="dxa"/>
            <w:shd w:val="clear" w:color="auto" w:fill="FFFFFF" w:themeFill="background1"/>
            <w:vAlign w:val="center"/>
          </w:tcPr>
          <w:p w14:paraId="2DC8C5F4" w14:textId="3421D9D6" w:rsidR="00DB009A" w:rsidRPr="00D53E20" w:rsidRDefault="00DB009A"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0A5EEBAC" w14:textId="110E9560" w:rsidR="00DB009A" w:rsidRPr="00487409" w:rsidRDefault="00DB009A" w:rsidP="00DB009A">
            <w:pPr>
              <w:spacing w:before="240" w:after="240"/>
              <w:rPr>
                <w:rFonts w:ascii="Roboto" w:hAnsi="Roboto"/>
              </w:rPr>
            </w:pPr>
            <w:r w:rsidRPr="00487409">
              <w:rPr>
                <w:rFonts w:ascii="Roboto" w:hAnsi="Roboto"/>
              </w:rPr>
              <w:t>How would ACARA like work to be priced and contracted for BAU and for each migration (time and materials, capped, fixed or outcome-based)? The Specification allows resource augmentation or outcome-based work packages, clause 7.1 says the fee is fixed, and the Payment schedule says time and materials. Is there flexibility in how tenderers show pricing in Attachment 6?</w:t>
            </w:r>
          </w:p>
        </w:tc>
        <w:tc>
          <w:tcPr>
            <w:tcW w:w="7229" w:type="dxa"/>
            <w:vAlign w:val="center"/>
          </w:tcPr>
          <w:p w14:paraId="31743EBF" w14:textId="77777777" w:rsidR="00A8463F" w:rsidRPr="00A8463F" w:rsidRDefault="00A8463F" w:rsidP="00A8463F">
            <w:pPr>
              <w:spacing w:line="278" w:lineRule="auto"/>
              <w:rPr>
                <w:rFonts w:ascii="Roboto" w:hAnsi="Roboto" w:cs="Segoe UI"/>
                <w:color w:val="242424"/>
                <w:sz w:val="23"/>
                <w:szCs w:val="23"/>
              </w:rPr>
            </w:pPr>
            <w:r w:rsidRPr="00A8463F">
              <w:rPr>
                <w:rFonts w:ascii="Roboto" w:hAnsi="Roboto" w:cs="Segoe UI"/>
                <w:color w:val="242424"/>
                <w:sz w:val="23"/>
                <w:szCs w:val="23"/>
              </w:rPr>
              <w:t>ACARA’s preference is for clearly defined work packages to be priced on a fixed price basis, with agreed scope, deliverables, milestones, assumptions, dependencies and acceptance criteria. Alternative pricing approaches may be considered where the scope cannot reasonably be defined in advance or where they provide demonstrable value and appropriate cost control.</w:t>
            </w:r>
          </w:p>
          <w:p w14:paraId="7683EAA4" w14:textId="1AB7786A" w:rsidR="00DB009A" w:rsidRPr="00D53E20" w:rsidRDefault="00A8463F" w:rsidP="00DB009A">
            <w:pPr>
              <w:spacing w:line="278" w:lineRule="auto"/>
              <w:rPr>
                <w:rFonts w:ascii="Roboto" w:hAnsi="Roboto" w:cs="Segoe UI"/>
                <w:color w:val="242424"/>
                <w:sz w:val="23"/>
                <w:szCs w:val="23"/>
              </w:rPr>
            </w:pPr>
            <w:r w:rsidRPr="00A8463F">
              <w:rPr>
                <w:rFonts w:ascii="Roboto" w:hAnsi="Roboto" w:cs="Segoe UI"/>
                <w:color w:val="242424"/>
                <w:sz w:val="23"/>
                <w:szCs w:val="23"/>
              </w:rPr>
              <w:t>Tenderers must complete Attachment 6 as requested and may provide supplementary pricing information to explain their proposed approach. Pricing should be transparent, identify all assumptions and exclusions, and provide sufficient detail for ACARA to assess value for money and compare proposals consistently.</w:t>
            </w:r>
          </w:p>
        </w:tc>
      </w:tr>
      <w:tr w:rsidR="007A3D31" w:rsidRPr="00D53E20" w14:paraId="1AD2C713" w14:textId="77777777" w:rsidTr="00487409">
        <w:trPr>
          <w:trHeight w:val="446"/>
        </w:trPr>
        <w:tc>
          <w:tcPr>
            <w:tcW w:w="1310" w:type="dxa"/>
            <w:shd w:val="clear" w:color="auto" w:fill="FFFFFF" w:themeFill="background1"/>
            <w:vAlign w:val="center"/>
          </w:tcPr>
          <w:p w14:paraId="10FB225F" w14:textId="5A14B62F" w:rsidR="007A3D31" w:rsidRPr="00D53E20" w:rsidRDefault="007A3D31"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0D625801" w14:textId="303C075C" w:rsidR="007A3D31" w:rsidRPr="00487409" w:rsidRDefault="007A3D31" w:rsidP="007A3D31">
            <w:pPr>
              <w:spacing w:before="240" w:after="240"/>
              <w:rPr>
                <w:rFonts w:ascii="Roboto" w:hAnsi="Roboto"/>
              </w:rPr>
            </w:pPr>
            <w:r w:rsidRPr="00487409">
              <w:rPr>
                <w:rFonts w:ascii="Roboto" w:hAnsi="Roboto"/>
              </w:rPr>
              <w:t>When does ACARA approve an AI System: at tender, at contract, or per tool per work package? Does "AI System" include agent-based tools used for monitoring, documentation and triage inside ACARA-approved environments? Is the Attachment A AI sheet (AI001 to AI010) pass/fail, scored or informational, and does ACARA have an AI framework or approved-tool list?</w:t>
            </w:r>
          </w:p>
        </w:tc>
        <w:tc>
          <w:tcPr>
            <w:tcW w:w="7229" w:type="dxa"/>
            <w:vAlign w:val="center"/>
          </w:tcPr>
          <w:p w14:paraId="599F9B70" w14:textId="77777777" w:rsidR="00565727" w:rsidRPr="00565727" w:rsidRDefault="00565727" w:rsidP="00565727">
            <w:pPr>
              <w:spacing w:line="278" w:lineRule="auto"/>
              <w:rPr>
                <w:rFonts w:ascii="Roboto" w:hAnsi="Roboto" w:cs="Segoe UI"/>
                <w:color w:val="242424"/>
                <w:sz w:val="23"/>
                <w:szCs w:val="23"/>
              </w:rPr>
            </w:pPr>
            <w:r w:rsidRPr="00565727">
              <w:rPr>
                <w:rFonts w:ascii="Roboto" w:hAnsi="Roboto" w:cs="Segoe UI"/>
                <w:color w:val="242424"/>
                <w:sz w:val="23"/>
                <w:szCs w:val="23"/>
              </w:rPr>
              <w:t>Tenderers must identify all AI systems and tools they propose to use and complete the Attachment A AI requirements. This information will form part of ACARA’s evaluation of risk, compliance and overall suitability. Approval to use a tool will be considered before use and may apply at contract, tool or work package level, depending on the proposed use and associated risk.</w:t>
            </w:r>
          </w:p>
          <w:p w14:paraId="10D6C867" w14:textId="770709A7" w:rsidR="007A3D31" w:rsidRPr="00D53E20" w:rsidRDefault="00565727" w:rsidP="007A3D31">
            <w:pPr>
              <w:spacing w:line="278" w:lineRule="auto"/>
              <w:rPr>
                <w:rFonts w:ascii="Roboto" w:hAnsi="Roboto" w:cs="Segoe UI"/>
                <w:color w:val="242424"/>
                <w:sz w:val="23"/>
                <w:szCs w:val="23"/>
              </w:rPr>
            </w:pPr>
            <w:r w:rsidRPr="00565727">
              <w:rPr>
                <w:rFonts w:ascii="Roboto" w:hAnsi="Roboto" w:cs="Segoe UI"/>
                <w:color w:val="242424"/>
                <w:sz w:val="23"/>
                <w:szCs w:val="23"/>
              </w:rPr>
              <w:t xml:space="preserve">The term AI System includes agent based tools used for monitoring, documentation, triage, software development or other service activities. Use within an ACARA approved environment does not remove the approval requirement. Tools already recorded on ACARA’s approved AI register may be used subject to any stated conditions. Any other tool requires prior written approval and may be </w:t>
            </w:r>
            <w:r w:rsidRPr="00565727">
              <w:rPr>
                <w:rFonts w:ascii="Roboto" w:hAnsi="Roboto" w:cs="Segoe UI"/>
                <w:color w:val="242424"/>
                <w:sz w:val="23"/>
                <w:szCs w:val="23"/>
              </w:rPr>
              <w:lastRenderedPageBreak/>
              <w:t>subject to security, privacy, legal and governance assessment. ACARA may impose conditions, refuse approval or withdraw approval.</w:t>
            </w:r>
          </w:p>
        </w:tc>
      </w:tr>
      <w:tr w:rsidR="007A3D31" w:rsidRPr="00D53E20" w14:paraId="090B3CFA" w14:textId="77777777" w:rsidTr="00487409">
        <w:trPr>
          <w:trHeight w:val="446"/>
        </w:trPr>
        <w:tc>
          <w:tcPr>
            <w:tcW w:w="1310" w:type="dxa"/>
            <w:shd w:val="clear" w:color="auto" w:fill="FFFFFF" w:themeFill="background1"/>
            <w:vAlign w:val="center"/>
          </w:tcPr>
          <w:p w14:paraId="3E5E0FC4" w14:textId="5977DEE5" w:rsidR="007A3D31" w:rsidRPr="00D53E20" w:rsidRDefault="007A3D31"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398FBACE" w14:textId="457D5B37" w:rsidR="007A3D31" w:rsidRPr="00487409" w:rsidRDefault="007A3D31" w:rsidP="007A3D31">
            <w:pPr>
              <w:spacing w:before="240" w:after="240"/>
              <w:rPr>
                <w:rFonts w:ascii="Roboto" w:hAnsi="Roboto"/>
              </w:rPr>
            </w:pPr>
            <w:r w:rsidRPr="00487409">
              <w:rPr>
                <w:rFonts w:ascii="Roboto" w:hAnsi="Roboto"/>
              </w:rPr>
              <w:t>Is there a required decommission date for Sitefinity, and a planned sequence and start date for migrating the NAP, ACARA corporate and ASL sites?</w:t>
            </w:r>
          </w:p>
        </w:tc>
        <w:tc>
          <w:tcPr>
            <w:tcW w:w="7229" w:type="dxa"/>
            <w:vAlign w:val="center"/>
          </w:tcPr>
          <w:p w14:paraId="32EC934D" w14:textId="77777777" w:rsidR="00654169" w:rsidRPr="00654169" w:rsidRDefault="00654169" w:rsidP="00654169">
            <w:pPr>
              <w:spacing w:line="278" w:lineRule="auto"/>
              <w:rPr>
                <w:rFonts w:ascii="Roboto" w:hAnsi="Roboto" w:cs="Segoe UI"/>
                <w:color w:val="242424"/>
                <w:sz w:val="23"/>
                <w:szCs w:val="23"/>
              </w:rPr>
            </w:pPr>
            <w:r w:rsidRPr="00654169">
              <w:rPr>
                <w:rFonts w:ascii="Roboto" w:hAnsi="Roboto" w:cs="Segoe UI"/>
                <w:color w:val="242424"/>
                <w:sz w:val="23"/>
                <w:szCs w:val="23"/>
              </w:rPr>
              <w:t>ACARA has not set a mandatory decommission date for Sitefinity. The intention is to complete the migrations as soon as practicable, subject to approved funding, priorities, discovery, readiness and delivery risk.</w:t>
            </w:r>
          </w:p>
          <w:p w14:paraId="59FE3A31" w14:textId="30F81063" w:rsidR="007A3D31" w:rsidRPr="00D53E20" w:rsidRDefault="00654169" w:rsidP="007A3D31">
            <w:pPr>
              <w:spacing w:line="278" w:lineRule="auto"/>
              <w:rPr>
                <w:rFonts w:ascii="Roboto" w:hAnsi="Roboto" w:cs="Segoe UI"/>
                <w:color w:val="242424"/>
                <w:sz w:val="23"/>
                <w:szCs w:val="23"/>
              </w:rPr>
            </w:pPr>
            <w:r w:rsidRPr="00654169">
              <w:rPr>
                <w:rFonts w:ascii="Roboto" w:hAnsi="Roboto" w:cs="Segoe UI"/>
                <w:color w:val="242424"/>
                <w:sz w:val="23"/>
                <w:szCs w:val="23"/>
              </w:rPr>
              <w:t>The sequence and commencement date for the NAP, ACARA corporate and ASL migrations will be determined by ACARA. Tenderers should demonstrate the capacity to mobilise promptly, support concurrent activity where required and develop credible migration plans that minimise disruption and enable timely decommissioning.</w:t>
            </w:r>
          </w:p>
        </w:tc>
      </w:tr>
      <w:tr w:rsidR="007A3D31" w:rsidRPr="00D53E20" w14:paraId="6352A3BF" w14:textId="77777777" w:rsidTr="00487409">
        <w:trPr>
          <w:trHeight w:val="446"/>
        </w:trPr>
        <w:tc>
          <w:tcPr>
            <w:tcW w:w="1310" w:type="dxa"/>
            <w:shd w:val="clear" w:color="auto" w:fill="FFFFFF" w:themeFill="background1"/>
            <w:vAlign w:val="center"/>
          </w:tcPr>
          <w:p w14:paraId="0F2EE7C3" w14:textId="32415660" w:rsidR="007A3D31" w:rsidRPr="00D53E20" w:rsidRDefault="007A3D31"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157DEC60" w14:textId="752136C7" w:rsidR="007A3D31" w:rsidRPr="00487409" w:rsidRDefault="007A3D31" w:rsidP="007A3D31">
            <w:pPr>
              <w:spacing w:before="240" w:after="240"/>
              <w:rPr>
                <w:rFonts w:ascii="Roboto" w:hAnsi="Roboto"/>
              </w:rPr>
            </w:pPr>
            <w:r w:rsidRPr="00487409">
              <w:rPr>
                <w:rFonts w:ascii="Roboto" w:hAnsi="Roboto"/>
              </w:rPr>
              <w:t>Are there any restrictions or preferences on where personnel can be located when accessing source code, non-production environments, production and personal data? Is any clearance or background check required? Do you normally conduct workshops and meetings face to face?</w:t>
            </w:r>
          </w:p>
        </w:tc>
        <w:tc>
          <w:tcPr>
            <w:tcW w:w="7229" w:type="dxa"/>
            <w:vAlign w:val="center"/>
          </w:tcPr>
          <w:p w14:paraId="583B01ED" w14:textId="77777777" w:rsidR="00981F73" w:rsidRPr="00981F73" w:rsidRDefault="00981F73" w:rsidP="00981F73">
            <w:pPr>
              <w:spacing w:line="278" w:lineRule="auto"/>
              <w:rPr>
                <w:rFonts w:ascii="Roboto" w:hAnsi="Roboto" w:cs="Segoe UI"/>
                <w:color w:val="242424"/>
                <w:sz w:val="23"/>
                <w:szCs w:val="23"/>
              </w:rPr>
            </w:pPr>
            <w:r w:rsidRPr="00981F73">
              <w:rPr>
                <w:rFonts w:ascii="Roboto" w:hAnsi="Roboto" w:cs="Segoe UI"/>
                <w:color w:val="242424"/>
                <w:sz w:val="23"/>
                <w:szCs w:val="23"/>
              </w:rPr>
              <w:t>Personnel locations and access arrangements must comply with ACARA’s security, privacy, data location and access control requirements. Access to production environments or personal, sensitive or protected information may require Australian based personnel and additional controls.</w:t>
            </w:r>
          </w:p>
          <w:p w14:paraId="6AC5C3ED" w14:textId="5D0D1C42" w:rsidR="00981F73" w:rsidRPr="00981F73" w:rsidRDefault="00981F73" w:rsidP="00981F73">
            <w:pPr>
              <w:spacing w:line="278" w:lineRule="auto"/>
              <w:rPr>
                <w:rFonts w:ascii="Roboto" w:hAnsi="Roboto" w:cs="Segoe UI"/>
                <w:color w:val="242424"/>
                <w:sz w:val="23"/>
                <w:szCs w:val="23"/>
              </w:rPr>
            </w:pPr>
            <w:r w:rsidRPr="00981F73">
              <w:rPr>
                <w:rFonts w:ascii="Roboto" w:hAnsi="Roboto" w:cs="Segoe UI"/>
                <w:color w:val="242424"/>
                <w:sz w:val="23"/>
                <w:szCs w:val="23"/>
              </w:rPr>
              <w:t>Tenderers must provide and manage secure devices, fully disclose proposed locations, subcontractors and access arrangements, and demonstrate mature identity and access management, device security, monitoring, incident response and personnel screening practices. ACARA may require background checks or security assessments.</w:t>
            </w:r>
          </w:p>
          <w:p w14:paraId="3FFA4B57" w14:textId="77777777" w:rsidR="00981F73" w:rsidRPr="00981F73" w:rsidRDefault="00981F73" w:rsidP="00981F73">
            <w:pPr>
              <w:spacing w:line="278" w:lineRule="auto"/>
              <w:rPr>
                <w:rFonts w:ascii="Roboto" w:hAnsi="Roboto" w:cs="Segoe UI"/>
                <w:color w:val="242424"/>
                <w:sz w:val="23"/>
                <w:szCs w:val="23"/>
              </w:rPr>
            </w:pPr>
            <w:r w:rsidRPr="00981F73">
              <w:rPr>
                <w:rFonts w:ascii="Roboto" w:hAnsi="Roboto" w:cs="Segoe UI"/>
                <w:color w:val="242424"/>
                <w:sz w:val="23"/>
                <w:szCs w:val="23"/>
              </w:rPr>
              <w:lastRenderedPageBreak/>
              <w:t>Workshops and meetings are expected to be conducted remotely. No face to face attendance is required.</w:t>
            </w:r>
          </w:p>
          <w:p w14:paraId="1AE1CBC2" w14:textId="77777777" w:rsidR="007A3D31" w:rsidRPr="00D53E20" w:rsidRDefault="007A3D31" w:rsidP="007A3D31">
            <w:pPr>
              <w:spacing w:line="278" w:lineRule="auto"/>
              <w:rPr>
                <w:rFonts w:ascii="Roboto" w:hAnsi="Roboto" w:cs="Segoe UI"/>
                <w:color w:val="242424"/>
                <w:sz w:val="23"/>
                <w:szCs w:val="23"/>
              </w:rPr>
            </w:pPr>
          </w:p>
        </w:tc>
      </w:tr>
      <w:tr w:rsidR="007A3D31" w:rsidRPr="00D53E20" w14:paraId="0971DE70" w14:textId="77777777" w:rsidTr="00487409">
        <w:trPr>
          <w:trHeight w:val="446"/>
        </w:trPr>
        <w:tc>
          <w:tcPr>
            <w:tcW w:w="1310" w:type="dxa"/>
            <w:shd w:val="clear" w:color="auto" w:fill="FFFFFF" w:themeFill="background1"/>
            <w:vAlign w:val="center"/>
          </w:tcPr>
          <w:p w14:paraId="31251DC8" w14:textId="424678FF" w:rsidR="007A3D31" w:rsidRPr="00D53E20" w:rsidRDefault="007A3D31"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77F45E57" w14:textId="1AAD18B2" w:rsidR="007A3D31" w:rsidRPr="00487409" w:rsidRDefault="007A3D31" w:rsidP="007A3D31">
            <w:pPr>
              <w:spacing w:before="240" w:after="240"/>
              <w:rPr>
                <w:rFonts w:ascii="Roboto" w:hAnsi="Roboto"/>
              </w:rPr>
            </w:pPr>
            <w:r w:rsidRPr="00487409">
              <w:rPr>
                <w:rFonts w:ascii="Roboto" w:hAnsi="Roboto"/>
              </w:rPr>
              <w:t>May tenderers propose a different role mix (for example fewer developers and more architecture and service roles) if outcomes and service levels are met?</w:t>
            </w:r>
          </w:p>
        </w:tc>
        <w:tc>
          <w:tcPr>
            <w:tcW w:w="7229" w:type="dxa"/>
            <w:vAlign w:val="center"/>
          </w:tcPr>
          <w:p w14:paraId="149F4A68" w14:textId="77777777" w:rsidR="000C393F" w:rsidRPr="000C393F" w:rsidRDefault="000C393F" w:rsidP="000C393F">
            <w:pPr>
              <w:spacing w:line="278" w:lineRule="auto"/>
              <w:rPr>
                <w:rFonts w:ascii="Roboto" w:hAnsi="Roboto" w:cs="Segoe UI"/>
                <w:color w:val="242424"/>
                <w:sz w:val="23"/>
                <w:szCs w:val="23"/>
              </w:rPr>
            </w:pPr>
            <w:r w:rsidRPr="000C393F">
              <w:rPr>
                <w:rFonts w:ascii="Roboto" w:hAnsi="Roboto" w:cs="Segoe UI"/>
                <w:color w:val="242424"/>
                <w:sz w:val="23"/>
                <w:szCs w:val="23"/>
              </w:rPr>
              <w:t>Yes. Tenderers may propose a different role mix where they can demonstrate that it is appropriate to the work and will meet the required outcomes, service levels, quality, security and delivery timeframes.</w:t>
            </w:r>
          </w:p>
          <w:p w14:paraId="74D423E4" w14:textId="4F5A4FC8" w:rsidR="007A3D31" w:rsidRPr="00D53E20" w:rsidRDefault="000C393F" w:rsidP="007A3D31">
            <w:pPr>
              <w:spacing w:line="278" w:lineRule="auto"/>
              <w:rPr>
                <w:rFonts w:ascii="Roboto" w:hAnsi="Roboto" w:cs="Segoe UI"/>
                <w:color w:val="242424"/>
                <w:sz w:val="23"/>
                <w:szCs w:val="23"/>
              </w:rPr>
            </w:pPr>
            <w:r w:rsidRPr="000C393F">
              <w:rPr>
                <w:rFonts w:ascii="Roboto" w:hAnsi="Roboto" w:cs="Segoe UI"/>
                <w:color w:val="242424"/>
                <w:sz w:val="23"/>
                <w:szCs w:val="23"/>
              </w:rPr>
              <w:t>Tenderers should clearly explain the proposed roles, responsibilities, skills, capacity, availability and governance arrangements, together with the rationale and any assumptions or dependencies. ACARA will assess the proposed model based on capability, delivery confidence, flexibility and value for money, rather than the number of personnel alone.</w:t>
            </w:r>
          </w:p>
        </w:tc>
      </w:tr>
      <w:tr w:rsidR="007A3D31" w:rsidRPr="00D53E20" w14:paraId="7268BD89" w14:textId="77777777" w:rsidTr="00487409">
        <w:trPr>
          <w:trHeight w:val="446"/>
        </w:trPr>
        <w:tc>
          <w:tcPr>
            <w:tcW w:w="1310" w:type="dxa"/>
            <w:shd w:val="clear" w:color="auto" w:fill="FFFFFF" w:themeFill="background1"/>
            <w:vAlign w:val="center"/>
          </w:tcPr>
          <w:p w14:paraId="706F24DC" w14:textId="1B6308D8" w:rsidR="007A3D31" w:rsidRPr="00D53E20" w:rsidRDefault="007A3D31"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72E5F245" w14:textId="409EBA84" w:rsidR="007A3D31" w:rsidRPr="00487409" w:rsidRDefault="00F4415B" w:rsidP="007A3D31">
            <w:pPr>
              <w:spacing w:before="240" w:after="240"/>
              <w:rPr>
                <w:rFonts w:ascii="Roboto" w:hAnsi="Roboto"/>
              </w:rPr>
            </w:pPr>
            <w:r w:rsidRPr="00487409">
              <w:rPr>
                <w:rFonts w:ascii="Roboto" w:hAnsi="Roboto"/>
              </w:rPr>
              <w:t>Can ACARA confirm it will be responsible for the content audit, clean-up and authoring in AEM for the migrated sites?</w:t>
            </w:r>
          </w:p>
        </w:tc>
        <w:tc>
          <w:tcPr>
            <w:tcW w:w="7229" w:type="dxa"/>
            <w:vAlign w:val="center"/>
          </w:tcPr>
          <w:p w14:paraId="7A2605AD" w14:textId="77777777" w:rsidR="00D858C7" w:rsidRPr="00D858C7" w:rsidRDefault="00D858C7" w:rsidP="00D858C7">
            <w:pPr>
              <w:spacing w:line="278" w:lineRule="auto"/>
              <w:rPr>
                <w:rFonts w:ascii="Roboto" w:hAnsi="Roboto" w:cs="Segoe UI"/>
                <w:color w:val="242424"/>
                <w:sz w:val="23"/>
                <w:szCs w:val="23"/>
              </w:rPr>
            </w:pPr>
            <w:r w:rsidRPr="00D858C7">
              <w:rPr>
                <w:rFonts w:ascii="Roboto" w:hAnsi="Roboto" w:cs="Segoe UI"/>
                <w:color w:val="242424"/>
                <w:sz w:val="23"/>
                <w:szCs w:val="23"/>
              </w:rPr>
              <w:t>ACARA will retain primary responsibility for content ownership, business decisions, content audit, clean up and final approval. The successful tenderer will be required to assist ACARA with content analysis, migration planning, extraction, transformation, mapping, authoring support, quality assurance and issue resolution.</w:t>
            </w:r>
          </w:p>
          <w:p w14:paraId="7A8C4610" w14:textId="40AC60D0" w:rsidR="007A3D31" w:rsidRPr="00D53E20" w:rsidRDefault="00D858C7" w:rsidP="007A3D31">
            <w:pPr>
              <w:spacing w:line="278" w:lineRule="auto"/>
              <w:rPr>
                <w:rFonts w:ascii="Roboto" w:hAnsi="Roboto" w:cs="Segoe UI"/>
                <w:color w:val="242424"/>
                <w:sz w:val="23"/>
                <w:szCs w:val="23"/>
              </w:rPr>
            </w:pPr>
            <w:r w:rsidRPr="00D858C7">
              <w:rPr>
                <w:rFonts w:ascii="Roboto" w:hAnsi="Roboto" w:cs="Segoe UI"/>
                <w:color w:val="242424"/>
                <w:sz w:val="23"/>
                <w:szCs w:val="23"/>
              </w:rPr>
              <w:t xml:space="preserve">Tenderers should demonstrate experience supporting complex content migrations and describe the tools, methods, controls and reporting they use to identify duplication, obsolete content, accessibility issues, metadata gaps and migration exceptions. </w:t>
            </w:r>
            <w:r w:rsidRPr="00D858C7">
              <w:rPr>
                <w:rFonts w:ascii="Roboto" w:hAnsi="Roboto" w:cs="Segoe UI"/>
                <w:color w:val="242424"/>
                <w:sz w:val="23"/>
                <w:szCs w:val="23"/>
              </w:rPr>
              <w:lastRenderedPageBreak/>
              <w:t>Detailed responsibilities and acceptance criteria will be agreed for each migration.</w:t>
            </w:r>
          </w:p>
        </w:tc>
      </w:tr>
      <w:tr w:rsidR="007A3D31" w:rsidRPr="00D53E20" w14:paraId="42D2ECF2" w14:textId="77777777" w:rsidTr="00487409">
        <w:trPr>
          <w:trHeight w:val="446"/>
        </w:trPr>
        <w:tc>
          <w:tcPr>
            <w:tcW w:w="1310" w:type="dxa"/>
            <w:shd w:val="clear" w:color="auto" w:fill="FFFFFF" w:themeFill="background1"/>
            <w:vAlign w:val="center"/>
          </w:tcPr>
          <w:p w14:paraId="14E9EC6D" w14:textId="1645994C" w:rsidR="007A3D31" w:rsidRPr="00D53E20" w:rsidRDefault="007A3D31" w:rsidP="00CA7CE7">
            <w:pPr>
              <w:pStyle w:val="ListParagraph"/>
              <w:numPr>
                <w:ilvl w:val="0"/>
                <w:numId w:val="10"/>
              </w:numPr>
              <w:spacing w:after="0"/>
              <w:rPr>
                <w:rFonts w:ascii="Roboto" w:hAnsi="Roboto"/>
              </w:rPr>
            </w:pPr>
          </w:p>
        </w:tc>
        <w:tc>
          <w:tcPr>
            <w:tcW w:w="6340" w:type="dxa"/>
            <w:tcBorders>
              <w:top w:val="single" w:sz="6" w:space="0" w:color="auto"/>
              <w:left w:val="single" w:sz="6" w:space="0" w:color="auto"/>
              <w:bottom w:val="single" w:sz="6" w:space="0" w:color="auto"/>
              <w:right w:val="single" w:sz="6" w:space="0" w:color="auto"/>
            </w:tcBorders>
            <w:shd w:val="clear" w:color="auto" w:fill="D6E4F5"/>
            <w:vAlign w:val="center"/>
          </w:tcPr>
          <w:p w14:paraId="6D1FC871" w14:textId="7D48A229" w:rsidR="007A3D31" w:rsidRPr="00487409" w:rsidRDefault="00F4415B" w:rsidP="007A3D31">
            <w:pPr>
              <w:spacing w:before="240" w:after="240"/>
              <w:rPr>
                <w:rFonts w:ascii="Roboto" w:hAnsi="Roboto"/>
              </w:rPr>
            </w:pPr>
            <w:r w:rsidRPr="00487409">
              <w:rPr>
                <w:rFonts w:ascii="Roboto" w:hAnsi="Roboto"/>
              </w:rPr>
              <w:t>Section 3 of the Security worksheet (SEC010 and SEC011) asks tenderers to identify current security and privacy certifications, including ISO 27001, SOC 2 and IRAP. Is certification of the tenderer’s own entity required, or will ACARA also accept evidence of equivalent controls? For example: (a) certified cloud platforms and tooling used to deliver the service (such as ACARA-managed environments AEM and Azure), or (b) independent security testing and a documented control framework such as Essential Eight alignment.</w:t>
            </w:r>
          </w:p>
        </w:tc>
        <w:tc>
          <w:tcPr>
            <w:tcW w:w="7229" w:type="dxa"/>
            <w:vAlign w:val="center"/>
          </w:tcPr>
          <w:p w14:paraId="6A6815E8" w14:textId="77777777" w:rsidR="00AC6124" w:rsidRPr="00AC6124" w:rsidRDefault="00AC6124" w:rsidP="00AC6124">
            <w:pPr>
              <w:spacing w:line="278" w:lineRule="auto"/>
              <w:rPr>
                <w:rFonts w:ascii="Roboto" w:hAnsi="Roboto" w:cs="Segoe UI"/>
                <w:color w:val="242424"/>
                <w:sz w:val="23"/>
                <w:szCs w:val="23"/>
              </w:rPr>
            </w:pPr>
            <w:r w:rsidRPr="00AC6124">
              <w:rPr>
                <w:rFonts w:ascii="Roboto" w:hAnsi="Roboto" w:cs="Segoe UI"/>
                <w:color w:val="242424"/>
                <w:sz w:val="23"/>
                <w:szCs w:val="23"/>
              </w:rPr>
              <w:t>Tenderers are not required to hold every certification listed. ACARA will assess the tenderer’s security and privacy capability based on the relevance, maturity and effectiveness of the controls applicable to the proposed services.</w:t>
            </w:r>
          </w:p>
          <w:p w14:paraId="361D468A" w14:textId="77777777" w:rsidR="00AC6124" w:rsidRPr="00AC6124" w:rsidRDefault="00AC6124" w:rsidP="00AC6124">
            <w:pPr>
              <w:spacing w:line="278" w:lineRule="auto"/>
              <w:rPr>
                <w:rFonts w:ascii="Roboto" w:hAnsi="Roboto" w:cs="Segoe UI"/>
                <w:color w:val="242424"/>
                <w:sz w:val="23"/>
                <w:szCs w:val="23"/>
              </w:rPr>
            </w:pPr>
            <w:r w:rsidRPr="00AC6124">
              <w:rPr>
                <w:rFonts w:ascii="Roboto" w:hAnsi="Roboto" w:cs="Segoe UI"/>
                <w:color w:val="242424"/>
                <w:sz w:val="23"/>
                <w:szCs w:val="23"/>
              </w:rPr>
              <w:t>Tenderers should provide evidence of current certifications where held and may also provide evidence of equivalent controls. This may include independently assessed control frameworks, Essential Eight maturity, penetration testing, secure development practices, incident response arrangements, personnel controls, supplier risk management and the security assurance of relevant platforms and tools.</w:t>
            </w:r>
          </w:p>
          <w:p w14:paraId="775995C0" w14:textId="6B9DD1C1" w:rsidR="007A3D31" w:rsidRPr="00D53E20" w:rsidRDefault="00AC6124" w:rsidP="007A3D31">
            <w:pPr>
              <w:spacing w:line="278" w:lineRule="auto"/>
              <w:rPr>
                <w:rFonts w:ascii="Roboto" w:hAnsi="Roboto" w:cs="Segoe UI"/>
                <w:color w:val="242424"/>
                <w:sz w:val="23"/>
                <w:szCs w:val="23"/>
              </w:rPr>
            </w:pPr>
            <w:r w:rsidRPr="00AC6124">
              <w:rPr>
                <w:rFonts w:ascii="Roboto" w:hAnsi="Roboto" w:cs="Segoe UI"/>
                <w:color w:val="242424"/>
                <w:sz w:val="23"/>
                <w:szCs w:val="23"/>
              </w:rPr>
              <w:t>Reliance on certified cloud platforms alone will not demonstrate the tenderer’s own security capability. Tenderers must clearly identify which controls are operated by the tenderer, ACARA, cloud providers and other parties, and provide sufficient evidence for ACARA to assess residual risk.</w:t>
            </w:r>
          </w:p>
        </w:tc>
      </w:tr>
    </w:tbl>
    <w:p w14:paraId="69A4254F" w14:textId="77777777" w:rsidR="00902A9B" w:rsidRPr="00D53E20" w:rsidRDefault="00902A9B" w:rsidP="00D12CEE">
      <w:pPr>
        <w:rPr>
          <w:rFonts w:ascii="Roboto" w:hAnsi="Roboto"/>
        </w:rPr>
      </w:pPr>
    </w:p>
    <w:sectPr w:rsidR="00902A9B" w:rsidRPr="00D53E20" w:rsidSect="00902A9B">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DBD44" w14:textId="77777777" w:rsidR="0035056B" w:rsidRDefault="0035056B" w:rsidP="00F122D9">
      <w:r>
        <w:separator/>
      </w:r>
    </w:p>
  </w:endnote>
  <w:endnote w:type="continuationSeparator" w:id="0">
    <w:p w14:paraId="36930CA7" w14:textId="77777777" w:rsidR="0035056B" w:rsidRDefault="0035056B" w:rsidP="00F122D9">
      <w:r>
        <w:continuationSeparator/>
      </w:r>
    </w:p>
  </w:endnote>
  <w:endnote w:type="continuationNotice" w:id="1">
    <w:p w14:paraId="7505B24D" w14:textId="77777777" w:rsidR="0035056B" w:rsidRDefault="003505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pitch w:val="default"/>
    <w:sig w:usb0="00000003" w:usb1="00000000" w:usb2="00000000" w:usb3="00000000" w:csb0="00000001" w:csb1="00000000"/>
  </w:font>
  <w:font w:name="Arial Bold Italic">
    <w:panose1 w:val="020B0704020202090204"/>
    <w:charset w:val="00"/>
    <w:family w:val="roman"/>
    <w:pitch w:val="default"/>
  </w:font>
  <w:font w:name="Arial Italic">
    <w:panose1 w:val="020B06040202020902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D0AB" w14:textId="77777777" w:rsidR="00393F65" w:rsidRDefault="00393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AC04" w14:textId="77777777" w:rsidR="00427FAC" w:rsidRDefault="00427FAC">
    <w:pPr>
      <w:pStyle w:val="Footer"/>
      <w:jc w:val="right"/>
    </w:pPr>
    <w:r>
      <w:ptab w:relativeTo="margin" w:alignment="center" w:leader="underscore"/>
    </w:r>
  </w:p>
  <w:p w14:paraId="4563EB65" w14:textId="759540A4" w:rsidR="00427FAC" w:rsidRPr="00427FAC" w:rsidRDefault="00427FAC">
    <w:pPr>
      <w:pStyle w:val="Footer"/>
      <w:jc w:val="right"/>
      <w:rPr>
        <w:sz w:val="20"/>
        <w:szCs w:val="20"/>
      </w:rPr>
    </w:pPr>
    <w:r w:rsidRPr="00427FAC">
      <w:rPr>
        <w:sz w:val="20"/>
        <w:szCs w:val="20"/>
      </w:rPr>
      <w:fldChar w:fldCharType="begin"/>
    </w:r>
    <w:r w:rsidRPr="00427FAC">
      <w:rPr>
        <w:sz w:val="20"/>
        <w:szCs w:val="20"/>
      </w:rPr>
      <w:instrText xml:space="preserve"> DATE \@ "d MMMM yyyy" </w:instrText>
    </w:r>
    <w:r w:rsidRPr="00427FAC">
      <w:rPr>
        <w:sz w:val="20"/>
        <w:szCs w:val="20"/>
      </w:rPr>
      <w:fldChar w:fldCharType="separate"/>
    </w:r>
    <w:r w:rsidR="00781DD0">
      <w:rPr>
        <w:noProof/>
        <w:sz w:val="20"/>
        <w:szCs w:val="20"/>
      </w:rPr>
      <w:t>28 October 2026</w:t>
    </w:r>
    <w:r w:rsidRPr="00427FAC">
      <w:rPr>
        <w:sz w:val="20"/>
        <w:szCs w:val="20"/>
      </w:rPr>
      <w:fldChar w:fldCharType="end"/>
    </w:r>
  </w:p>
  <w:p w14:paraId="254A68A5" w14:textId="77777777" w:rsidR="00427FAC" w:rsidRPr="00427FAC" w:rsidRDefault="0035056B">
    <w:pPr>
      <w:pStyle w:val="Footer"/>
      <w:jc w:val="right"/>
      <w:rPr>
        <w:sz w:val="20"/>
        <w:szCs w:val="20"/>
      </w:rPr>
    </w:pPr>
    <w:sdt>
      <w:sdtPr>
        <w:rPr>
          <w:sz w:val="20"/>
          <w:szCs w:val="20"/>
        </w:rPr>
        <w:id w:val="2128732181"/>
        <w:docPartObj>
          <w:docPartGallery w:val="Page Numbers (Bottom of Page)"/>
          <w:docPartUnique/>
        </w:docPartObj>
      </w:sdtPr>
      <w:sdtEndPr/>
      <w:sdtContent>
        <w:sdt>
          <w:sdtPr>
            <w:rPr>
              <w:sz w:val="20"/>
              <w:szCs w:val="20"/>
            </w:rPr>
            <w:id w:val="860082579"/>
            <w:docPartObj>
              <w:docPartGallery w:val="Page Numbers (Top of Page)"/>
              <w:docPartUnique/>
            </w:docPartObj>
          </w:sdtPr>
          <w:sdtEndPr/>
          <w:sdtContent>
            <w:r w:rsidR="00427FAC" w:rsidRPr="00427FAC">
              <w:rPr>
                <w:sz w:val="20"/>
                <w:szCs w:val="20"/>
              </w:rPr>
              <w:t xml:space="preserve">Page </w:t>
            </w:r>
            <w:r w:rsidR="00427FAC" w:rsidRPr="00427FAC">
              <w:rPr>
                <w:b/>
                <w:bCs/>
                <w:sz w:val="20"/>
                <w:szCs w:val="20"/>
              </w:rPr>
              <w:fldChar w:fldCharType="begin"/>
            </w:r>
            <w:r w:rsidR="00427FAC" w:rsidRPr="00427FAC">
              <w:rPr>
                <w:b/>
                <w:bCs/>
                <w:sz w:val="20"/>
                <w:szCs w:val="20"/>
              </w:rPr>
              <w:instrText xml:space="preserve"> PAGE </w:instrText>
            </w:r>
            <w:r w:rsidR="00427FAC" w:rsidRPr="00427FAC">
              <w:rPr>
                <w:b/>
                <w:bCs/>
                <w:sz w:val="20"/>
                <w:szCs w:val="20"/>
              </w:rPr>
              <w:fldChar w:fldCharType="separate"/>
            </w:r>
            <w:r w:rsidR="00DB5025">
              <w:rPr>
                <w:b/>
                <w:bCs/>
                <w:noProof/>
                <w:sz w:val="20"/>
                <w:szCs w:val="20"/>
              </w:rPr>
              <w:t>1</w:t>
            </w:r>
            <w:r w:rsidR="00427FAC" w:rsidRPr="00427FAC">
              <w:rPr>
                <w:b/>
                <w:bCs/>
                <w:sz w:val="20"/>
                <w:szCs w:val="20"/>
              </w:rPr>
              <w:fldChar w:fldCharType="end"/>
            </w:r>
            <w:r w:rsidR="00427FAC" w:rsidRPr="00427FAC">
              <w:rPr>
                <w:sz w:val="20"/>
                <w:szCs w:val="20"/>
              </w:rPr>
              <w:t xml:space="preserve"> of </w:t>
            </w:r>
            <w:r w:rsidR="00427FAC" w:rsidRPr="00427FAC">
              <w:rPr>
                <w:b/>
                <w:bCs/>
                <w:sz w:val="20"/>
                <w:szCs w:val="20"/>
              </w:rPr>
              <w:fldChar w:fldCharType="begin"/>
            </w:r>
            <w:r w:rsidR="00427FAC" w:rsidRPr="00427FAC">
              <w:rPr>
                <w:b/>
                <w:bCs/>
                <w:sz w:val="20"/>
                <w:szCs w:val="20"/>
              </w:rPr>
              <w:instrText xml:space="preserve"> NUMPAGES  </w:instrText>
            </w:r>
            <w:r w:rsidR="00427FAC" w:rsidRPr="00427FAC">
              <w:rPr>
                <w:b/>
                <w:bCs/>
                <w:sz w:val="20"/>
                <w:szCs w:val="20"/>
              </w:rPr>
              <w:fldChar w:fldCharType="separate"/>
            </w:r>
            <w:r w:rsidR="00DB5025">
              <w:rPr>
                <w:b/>
                <w:bCs/>
                <w:noProof/>
                <w:sz w:val="20"/>
                <w:szCs w:val="20"/>
              </w:rPr>
              <w:t>1</w:t>
            </w:r>
            <w:r w:rsidR="00427FAC" w:rsidRPr="00427FAC">
              <w:rPr>
                <w:b/>
                <w:bCs/>
                <w:sz w:val="20"/>
                <w:szCs w:val="20"/>
              </w:rPr>
              <w:fldChar w:fldCharType="end"/>
            </w:r>
          </w:sdtContent>
        </w:sdt>
      </w:sdtContent>
    </w:sdt>
  </w:p>
  <w:p w14:paraId="329D4B72" w14:textId="77777777" w:rsidR="009054E7" w:rsidRPr="00427FAC" w:rsidRDefault="00427FAC" w:rsidP="00427FAC">
    <w:pPr>
      <w:pStyle w:val="Footer"/>
      <w:jc w:val="right"/>
      <w:rPr>
        <w:sz w:val="20"/>
        <w:szCs w:val="20"/>
      </w:rPr>
    </w:pPr>
    <w:r w:rsidRPr="00427FAC">
      <w:rPr>
        <w:sz w:val="20"/>
        <w:szCs w:val="20"/>
      </w:rPr>
      <w:t xml:space="preserve">Version </w:t>
    </w:r>
    <w:r w:rsidRPr="00427FAC">
      <w:rPr>
        <w:b/>
        <w:sz w:val="20"/>
        <w:szCs w:val="20"/>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692D" w14:textId="77777777" w:rsidR="00393F65" w:rsidRDefault="00393F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72691" w14:textId="77777777" w:rsidR="0035056B" w:rsidRDefault="0035056B" w:rsidP="00F122D9">
      <w:r>
        <w:separator/>
      </w:r>
    </w:p>
  </w:footnote>
  <w:footnote w:type="continuationSeparator" w:id="0">
    <w:p w14:paraId="6716D216" w14:textId="77777777" w:rsidR="0035056B" w:rsidRDefault="0035056B" w:rsidP="00F122D9">
      <w:r>
        <w:continuationSeparator/>
      </w:r>
    </w:p>
  </w:footnote>
  <w:footnote w:type="continuationNotice" w:id="1">
    <w:p w14:paraId="5281F63E" w14:textId="77777777" w:rsidR="0035056B" w:rsidRDefault="003505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FBC0" w14:textId="693B44EC" w:rsidR="00A13A72" w:rsidRDefault="00A13A72">
    <w:pPr>
      <w:pStyle w:val="Header"/>
    </w:pPr>
    <w:r>
      <w:rPr>
        <w:noProof/>
      </w:rPr>
      <mc:AlternateContent>
        <mc:Choice Requires="wps">
          <w:drawing>
            <wp:anchor distT="0" distB="0" distL="0" distR="0" simplePos="0" relativeHeight="251658241" behindDoc="0" locked="0" layoutInCell="1" allowOverlap="1" wp14:anchorId="21D0135D" wp14:editId="5B511164">
              <wp:simplePos x="635" y="635"/>
              <wp:positionH relativeFrom="page">
                <wp:align>center</wp:align>
              </wp:positionH>
              <wp:positionV relativeFrom="page">
                <wp:align>top</wp:align>
              </wp:positionV>
              <wp:extent cx="443865" cy="443865"/>
              <wp:effectExtent l="0" t="0" r="635" b="14605"/>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BB0924" w14:textId="265A7FA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0135D"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4BB0924" w14:textId="265A7FA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11A9" w14:textId="5149D8BE" w:rsidR="00212A7C" w:rsidRDefault="00A13A72" w:rsidP="00E0513E">
    <w:pPr>
      <w:pStyle w:val="Header"/>
      <w:tabs>
        <w:tab w:val="clear" w:pos="4513"/>
        <w:tab w:val="clear" w:pos="9026"/>
        <w:tab w:val="left" w:pos="2130"/>
      </w:tabs>
    </w:pPr>
    <w:r>
      <w:rPr>
        <w:noProof/>
        <w:lang w:eastAsia="en-AU"/>
      </w:rPr>
      <mc:AlternateContent>
        <mc:Choice Requires="wps">
          <w:drawing>
            <wp:anchor distT="0" distB="0" distL="0" distR="0" simplePos="0" relativeHeight="251658242" behindDoc="0" locked="0" layoutInCell="1" allowOverlap="1" wp14:anchorId="190CBF54" wp14:editId="7D538F50">
              <wp:simplePos x="914400" y="447675"/>
              <wp:positionH relativeFrom="page">
                <wp:align>center</wp:align>
              </wp:positionH>
              <wp:positionV relativeFrom="page">
                <wp:align>top</wp:align>
              </wp:positionV>
              <wp:extent cx="443865" cy="443865"/>
              <wp:effectExtent l="0" t="0" r="635" b="14605"/>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289AB0" w14:textId="3EC3494C"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0CBF54"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66289AB0" w14:textId="3EC3494C"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v:textbox>
              <w10:wrap anchorx="page" anchory="page"/>
            </v:shape>
          </w:pict>
        </mc:Fallback>
      </mc:AlternateContent>
    </w:r>
    <w:r w:rsidR="00396FB4">
      <w:rPr>
        <w:noProof/>
        <w:lang w:eastAsia="en-AU"/>
      </w:rPr>
      <w:drawing>
        <wp:inline distT="0" distB="0" distL="0" distR="0" wp14:anchorId="7F189576" wp14:editId="6D2ADD7B">
          <wp:extent cx="2161032" cy="35966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ARA-RGB-colour.jpg Updated April 2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1032" cy="359664"/>
                  </a:xfrm>
                  <a:prstGeom prst="rect">
                    <a:avLst/>
                  </a:prstGeom>
                </pic:spPr>
              </pic:pic>
            </a:graphicData>
          </a:graphic>
        </wp:inline>
      </w:drawing>
    </w:r>
    <w:r w:rsidR="00E0513E">
      <w:tab/>
    </w:r>
  </w:p>
  <w:p w14:paraId="193D5C56" w14:textId="77777777" w:rsidR="00427FAC" w:rsidRDefault="00427FAC" w:rsidP="00E0513E">
    <w:pPr>
      <w:pStyle w:val="Header"/>
      <w:tabs>
        <w:tab w:val="clear" w:pos="4513"/>
        <w:tab w:val="clear" w:pos="9026"/>
        <w:tab w:val="left" w:pos="213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862C" w14:textId="302A2754" w:rsidR="00A13A72" w:rsidRDefault="00A13A72">
    <w:pPr>
      <w:pStyle w:val="Header"/>
    </w:pPr>
    <w:r>
      <w:rPr>
        <w:noProof/>
      </w:rPr>
      <mc:AlternateContent>
        <mc:Choice Requires="wps">
          <w:drawing>
            <wp:anchor distT="0" distB="0" distL="0" distR="0" simplePos="0" relativeHeight="251658240" behindDoc="0" locked="0" layoutInCell="1" allowOverlap="1" wp14:anchorId="5C337C09" wp14:editId="76E13EA3">
              <wp:simplePos x="635" y="635"/>
              <wp:positionH relativeFrom="page">
                <wp:align>center</wp:align>
              </wp:positionH>
              <wp:positionV relativeFrom="page">
                <wp:align>top</wp:align>
              </wp:positionV>
              <wp:extent cx="443865" cy="443865"/>
              <wp:effectExtent l="0" t="0" r="635" b="1460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F4679F" w14:textId="783818E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337C09"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61F4679F" w14:textId="783818E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47B97"/>
    <w:multiLevelType w:val="multilevel"/>
    <w:tmpl w:val="6ABE5908"/>
    <w:lvl w:ilvl="0">
      <w:start w:val="1"/>
      <w:numFmt w:val="decimal"/>
      <w:lvlText w:val="%1."/>
      <w:lvlJc w:val="left"/>
      <w:pPr>
        <w:ind w:left="340" w:hanging="340"/>
      </w:pPr>
      <w:rPr>
        <w:rFonts w:ascii="Arial" w:hAnsi="Arial" w:cs="Times New Roman" w:hint="default"/>
        <w:color w:val="005D93"/>
        <w:sz w:val="24"/>
      </w:rPr>
    </w:lvl>
    <w:lvl w:ilvl="1">
      <w:start w:val="1"/>
      <w:numFmt w:val="decimal"/>
      <w:lvlText w:val="%1.%2."/>
      <w:lvlJc w:val="left"/>
      <w:pPr>
        <w:ind w:left="340" w:hanging="340"/>
      </w:pPr>
      <w:rPr>
        <w:rFonts w:hint="default"/>
      </w:rPr>
    </w:lvl>
    <w:lvl w:ilvl="2">
      <w:start w:val="1"/>
      <w:numFmt w:val="decimal"/>
      <w:lvlText w:val="%2.1.%1."/>
      <w:lvlJc w:val="right"/>
      <w:pPr>
        <w:ind w:left="340" w:hanging="34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2393F79"/>
    <w:multiLevelType w:val="multilevel"/>
    <w:tmpl w:val="702A8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2A3544"/>
    <w:multiLevelType w:val="multilevel"/>
    <w:tmpl w:val="81483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5451B1"/>
    <w:multiLevelType w:val="multilevel"/>
    <w:tmpl w:val="774E6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5B46BB1"/>
    <w:multiLevelType w:val="multilevel"/>
    <w:tmpl w:val="39E8F42A"/>
    <w:lvl w:ilvl="0">
      <w:start w:val="1"/>
      <w:numFmt w:val="decimal"/>
      <w:pStyle w:val="Heading1"/>
      <w:lvlText w:val="%1."/>
      <w:lvlJc w:val="left"/>
      <w:pPr>
        <w:ind w:left="454" w:hanging="454"/>
      </w:pPr>
      <w:rPr>
        <w:rFonts w:ascii="Arial Bold" w:hAnsi="Arial Bold" w:cs="Arial" w:hint="default"/>
        <w:b/>
        <w:i w:val="0"/>
        <w:color w:val="auto"/>
        <w:sz w:val="24"/>
      </w:rPr>
    </w:lvl>
    <w:lvl w:ilvl="1">
      <w:start w:val="1"/>
      <w:numFmt w:val="decimal"/>
      <w:pStyle w:val="Heading2"/>
      <w:lvlText w:val="%1.%2."/>
      <w:lvlJc w:val="left"/>
      <w:pPr>
        <w:ind w:left="454" w:hanging="454"/>
      </w:pPr>
      <w:rPr>
        <w:rFonts w:ascii="Arial Bold" w:hAnsi="Arial Bold" w:cs="Arial" w:hint="default"/>
        <w:b/>
        <w:i w:val="0"/>
        <w:color w:val="auto"/>
        <w:sz w:val="24"/>
      </w:rPr>
    </w:lvl>
    <w:lvl w:ilvl="2">
      <w:start w:val="1"/>
      <w:numFmt w:val="decimal"/>
      <w:pStyle w:val="Heading3"/>
      <w:lvlText w:val="%1.%2.%3."/>
      <w:lvlJc w:val="left"/>
      <w:pPr>
        <w:ind w:left="454" w:hanging="454"/>
      </w:pPr>
      <w:rPr>
        <w:rFonts w:ascii="Arial Bold Italic" w:hAnsi="Arial Bold Italic" w:hint="default"/>
        <w:b/>
        <w:i/>
        <w:color w:val="auto"/>
        <w:sz w:val="24"/>
      </w:rPr>
    </w:lvl>
    <w:lvl w:ilvl="3">
      <w:start w:val="1"/>
      <w:numFmt w:val="decimal"/>
      <w:pStyle w:val="Heading4"/>
      <w:lvlText w:val="%4.%1.%2.%3."/>
      <w:lvlJc w:val="left"/>
      <w:pPr>
        <w:ind w:left="454" w:hanging="454"/>
      </w:pPr>
      <w:rPr>
        <w:rFonts w:ascii="Arial Italic" w:hAnsi="Arial Italic" w:hint="default"/>
        <w:b w:val="0"/>
        <w:i/>
        <w:color w:val="auto"/>
        <w:sz w:val="24"/>
      </w:rPr>
    </w:lvl>
    <w:lvl w:ilvl="4">
      <w:start w:val="1"/>
      <w:numFmt w:val="decimal"/>
      <w:pStyle w:val="Heading5"/>
      <w:lvlText w:val="(%5)"/>
      <w:lvlJc w:val="left"/>
      <w:pPr>
        <w:ind w:left="454" w:hanging="454"/>
      </w:pPr>
      <w:rPr>
        <w:rFonts w:hint="default"/>
      </w:rPr>
    </w:lvl>
    <w:lvl w:ilvl="5">
      <w:start w:val="1"/>
      <w:numFmt w:val="lowerLetter"/>
      <w:pStyle w:val="Heading6"/>
      <w:lvlText w:val="(%6)"/>
      <w:lvlJc w:val="left"/>
      <w:pPr>
        <w:ind w:left="454" w:hanging="454"/>
      </w:pPr>
      <w:rPr>
        <w:rFonts w:hint="default"/>
      </w:rPr>
    </w:lvl>
    <w:lvl w:ilvl="6">
      <w:start w:val="1"/>
      <w:numFmt w:val="lowerRoman"/>
      <w:pStyle w:val="Heading7"/>
      <w:lvlText w:val="(%7)"/>
      <w:lvlJc w:val="left"/>
      <w:pPr>
        <w:ind w:left="454" w:hanging="454"/>
      </w:pPr>
      <w:rPr>
        <w:rFonts w:hint="default"/>
      </w:rPr>
    </w:lvl>
    <w:lvl w:ilvl="7">
      <w:start w:val="1"/>
      <w:numFmt w:val="lowerLetter"/>
      <w:pStyle w:val="Heading8"/>
      <w:lvlText w:val="(%8)"/>
      <w:lvlJc w:val="left"/>
      <w:pPr>
        <w:ind w:left="454" w:hanging="454"/>
      </w:pPr>
      <w:rPr>
        <w:rFonts w:hint="default"/>
      </w:rPr>
    </w:lvl>
    <w:lvl w:ilvl="8">
      <w:start w:val="1"/>
      <w:numFmt w:val="lowerRoman"/>
      <w:pStyle w:val="Heading9"/>
      <w:lvlText w:val="(%9)"/>
      <w:lvlJc w:val="left"/>
      <w:pPr>
        <w:ind w:left="454" w:hanging="454"/>
      </w:pPr>
      <w:rPr>
        <w:rFonts w:hint="default"/>
      </w:rPr>
    </w:lvl>
  </w:abstractNum>
  <w:abstractNum w:abstractNumId="5" w15:restartNumberingAfterBreak="0">
    <w:nsid w:val="42766EB0"/>
    <w:multiLevelType w:val="hybridMultilevel"/>
    <w:tmpl w:val="437E8748"/>
    <w:lvl w:ilvl="0" w:tplc="372E61CA">
      <w:start w:val="5"/>
      <w:numFmt w:val="bullet"/>
      <w:pStyle w:val="ListParagraph"/>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951729"/>
    <w:multiLevelType w:val="multilevel"/>
    <w:tmpl w:val="CFD47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D4446F"/>
    <w:multiLevelType w:val="hybridMultilevel"/>
    <w:tmpl w:val="42ECCE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345398">
    <w:abstractNumId w:val="0"/>
  </w:num>
  <w:num w:numId="2" w16cid:durableId="62485905">
    <w:abstractNumId w:val="4"/>
  </w:num>
  <w:num w:numId="3" w16cid:durableId="13643609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82854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5677756">
    <w:abstractNumId w:val="5"/>
  </w:num>
  <w:num w:numId="6" w16cid:durableId="1950502229">
    <w:abstractNumId w:val="1"/>
  </w:num>
  <w:num w:numId="7" w16cid:durableId="464540934">
    <w:abstractNumId w:val="2"/>
  </w:num>
  <w:num w:numId="8" w16cid:durableId="504588265">
    <w:abstractNumId w:val="6"/>
  </w:num>
  <w:num w:numId="9" w16cid:durableId="889154436">
    <w:abstractNumId w:val="3"/>
  </w:num>
  <w:num w:numId="10" w16cid:durableId="903107294">
    <w:abstractNumId w:val="7"/>
  </w:num>
  <w:num w:numId="11" w16cid:durableId="435753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36B"/>
    <w:rsid w:val="00000543"/>
    <w:rsid w:val="00001199"/>
    <w:rsid w:val="000038AD"/>
    <w:rsid w:val="000055AF"/>
    <w:rsid w:val="000101F9"/>
    <w:rsid w:val="00013545"/>
    <w:rsid w:val="00015A2A"/>
    <w:rsid w:val="000166C0"/>
    <w:rsid w:val="000201C1"/>
    <w:rsid w:val="00021E0D"/>
    <w:rsid w:val="00022869"/>
    <w:rsid w:val="000305BF"/>
    <w:rsid w:val="00031BAF"/>
    <w:rsid w:val="00031FE2"/>
    <w:rsid w:val="000373D2"/>
    <w:rsid w:val="00040086"/>
    <w:rsid w:val="00041C88"/>
    <w:rsid w:val="0005043E"/>
    <w:rsid w:val="00052167"/>
    <w:rsid w:val="00055B2E"/>
    <w:rsid w:val="0006035D"/>
    <w:rsid w:val="00062928"/>
    <w:rsid w:val="00070C49"/>
    <w:rsid w:val="0007441E"/>
    <w:rsid w:val="00074F04"/>
    <w:rsid w:val="0007504D"/>
    <w:rsid w:val="000819CA"/>
    <w:rsid w:val="00083814"/>
    <w:rsid w:val="000848DF"/>
    <w:rsid w:val="00085CC8"/>
    <w:rsid w:val="00086254"/>
    <w:rsid w:val="000879D8"/>
    <w:rsid w:val="0009369C"/>
    <w:rsid w:val="00096396"/>
    <w:rsid w:val="00096801"/>
    <w:rsid w:val="000A2E42"/>
    <w:rsid w:val="000A4B25"/>
    <w:rsid w:val="000A6498"/>
    <w:rsid w:val="000B28B1"/>
    <w:rsid w:val="000B4CAA"/>
    <w:rsid w:val="000C393F"/>
    <w:rsid w:val="000C4A30"/>
    <w:rsid w:val="000C70F0"/>
    <w:rsid w:val="000F010C"/>
    <w:rsid w:val="00102976"/>
    <w:rsid w:val="00102F52"/>
    <w:rsid w:val="00103D29"/>
    <w:rsid w:val="00104641"/>
    <w:rsid w:val="00104C14"/>
    <w:rsid w:val="00105876"/>
    <w:rsid w:val="001065FD"/>
    <w:rsid w:val="00112029"/>
    <w:rsid w:val="001211FC"/>
    <w:rsid w:val="00122CF6"/>
    <w:rsid w:val="00135CC9"/>
    <w:rsid w:val="0013628D"/>
    <w:rsid w:val="00147EAA"/>
    <w:rsid w:val="00152204"/>
    <w:rsid w:val="001522FF"/>
    <w:rsid w:val="001571E1"/>
    <w:rsid w:val="001624CA"/>
    <w:rsid w:val="00166532"/>
    <w:rsid w:val="001723E0"/>
    <w:rsid w:val="00172670"/>
    <w:rsid w:val="001747FB"/>
    <w:rsid w:val="00186748"/>
    <w:rsid w:val="001914F7"/>
    <w:rsid w:val="00192205"/>
    <w:rsid w:val="001950BB"/>
    <w:rsid w:val="001963BE"/>
    <w:rsid w:val="001A0442"/>
    <w:rsid w:val="001A2CF6"/>
    <w:rsid w:val="001A429B"/>
    <w:rsid w:val="001B3F4B"/>
    <w:rsid w:val="001B6586"/>
    <w:rsid w:val="001C0D8E"/>
    <w:rsid w:val="001C66AB"/>
    <w:rsid w:val="001C6732"/>
    <w:rsid w:val="001C6899"/>
    <w:rsid w:val="001D2075"/>
    <w:rsid w:val="001E29B6"/>
    <w:rsid w:val="001E79B1"/>
    <w:rsid w:val="001F3CD5"/>
    <w:rsid w:val="001F5005"/>
    <w:rsid w:val="001F602D"/>
    <w:rsid w:val="0020082F"/>
    <w:rsid w:val="00211552"/>
    <w:rsid w:val="00212A7C"/>
    <w:rsid w:val="00217FC7"/>
    <w:rsid w:val="00220C74"/>
    <w:rsid w:val="002222A0"/>
    <w:rsid w:val="002249B7"/>
    <w:rsid w:val="002273A7"/>
    <w:rsid w:val="00227838"/>
    <w:rsid w:val="002279B4"/>
    <w:rsid w:val="002337FC"/>
    <w:rsid w:val="00234ACF"/>
    <w:rsid w:val="00241F99"/>
    <w:rsid w:val="002432EA"/>
    <w:rsid w:val="002511D1"/>
    <w:rsid w:val="00255FC5"/>
    <w:rsid w:val="00262607"/>
    <w:rsid w:val="00265DD4"/>
    <w:rsid w:val="00266619"/>
    <w:rsid w:val="002708C8"/>
    <w:rsid w:val="00270A9C"/>
    <w:rsid w:val="002759EF"/>
    <w:rsid w:val="00282DFA"/>
    <w:rsid w:val="00283249"/>
    <w:rsid w:val="00284BA9"/>
    <w:rsid w:val="00294D55"/>
    <w:rsid w:val="00297F4F"/>
    <w:rsid w:val="002A41A8"/>
    <w:rsid w:val="002C0201"/>
    <w:rsid w:val="002C0AEB"/>
    <w:rsid w:val="002C1C14"/>
    <w:rsid w:val="002C21EA"/>
    <w:rsid w:val="002D1758"/>
    <w:rsid w:val="002D3C0F"/>
    <w:rsid w:val="002D6D28"/>
    <w:rsid w:val="002D74F4"/>
    <w:rsid w:val="002E0254"/>
    <w:rsid w:val="002E1FED"/>
    <w:rsid w:val="002E23FE"/>
    <w:rsid w:val="002E6E34"/>
    <w:rsid w:val="002F559A"/>
    <w:rsid w:val="00300868"/>
    <w:rsid w:val="003037D6"/>
    <w:rsid w:val="00311DE1"/>
    <w:rsid w:val="00317B54"/>
    <w:rsid w:val="003210E8"/>
    <w:rsid w:val="00324A46"/>
    <w:rsid w:val="00327A60"/>
    <w:rsid w:val="00334471"/>
    <w:rsid w:val="00334691"/>
    <w:rsid w:val="00343ADF"/>
    <w:rsid w:val="003454E7"/>
    <w:rsid w:val="003479A6"/>
    <w:rsid w:val="00347CCC"/>
    <w:rsid w:val="0035056B"/>
    <w:rsid w:val="00360703"/>
    <w:rsid w:val="00361EA4"/>
    <w:rsid w:val="00362982"/>
    <w:rsid w:val="0036467D"/>
    <w:rsid w:val="003733D6"/>
    <w:rsid w:val="003878DF"/>
    <w:rsid w:val="00390BC1"/>
    <w:rsid w:val="00392EF9"/>
    <w:rsid w:val="00393F65"/>
    <w:rsid w:val="00396FB4"/>
    <w:rsid w:val="003B008E"/>
    <w:rsid w:val="003B3A77"/>
    <w:rsid w:val="003C3321"/>
    <w:rsid w:val="003C4B8D"/>
    <w:rsid w:val="003C5A47"/>
    <w:rsid w:val="003C713E"/>
    <w:rsid w:val="003D4C63"/>
    <w:rsid w:val="003D5EED"/>
    <w:rsid w:val="003E0DA7"/>
    <w:rsid w:val="003E1014"/>
    <w:rsid w:val="003E693F"/>
    <w:rsid w:val="003F085A"/>
    <w:rsid w:val="003F0C03"/>
    <w:rsid w:val="003F2F3C"/>
    <w:rsid w:val="004053F5"/>
    <w:rsid w:val="004169D3"/>
    <w:rsid w:val="00421089"/>
    <w:rsid w:val="004233B6"/>
    <w:rsid w:val="00423D40"/>
    <w:rsid w:val="00423F57"/>
    <w:rsid w:val="004251EE"/>
    <w:rsid w:val="00427FAC"/>
    <w:rsid w:val="00433605"/>
    <w:rsid w:val="00436DBE"/>
    <w:rsid w:val="00440832"/>
    <w:rsid w:val="00443556"/>
    <w:rsid w:val="00446789"/>
    <w:rsid w:val="004505D7"/>
    <w:rsid w:val="00451972"/>
    <w:rsid w:val="004624CB"/>
    <w:rsid w:val="00463672"/>
    <w:rsid w:val="00465D42"/>
    <w:rsid w:val="0047683D"/>
    <w:rsid w:val="004824E0"/>
    <w:rsid w:val="00483A14"/>
    <w:rsid w:val="00485334"/>
    <w:rsid w:val="004870D1"/>
    <w:rsid w:val="00487409"/>
    <w:rsid w:val="00494447"/>
    <w:rsid w:val="004A3350"/>
    <w:rsid w:val="004A3416"/>
    <w:rsid w:val="004A6646"/>
    <w:rsid w:val="004C5018"/>
    <w:rsid w:val="004C7065"/>
    <w:rsid w:val="004D00BB"/>
    <w:rsid w:val="004D184A"/>
    <w:rsid w:val="004D729F"/>
    <w:rsid w:val="004E11F1"/>
    <w:rsid w:val="004E4E46"/>
    <w:rsid w:val="004E5853"/>
    <w:rsid w:val="004E5D0E"/>
    <w:rsid w:val="004E72EC"/>
    <w:rsid w:val="004F0431"/>
    <w:rsid w:val="00500C7A"/>
    <w:rsid w:val="00502FFC"/>
    <w:rsid w:val="005147C9"/>
    <w:rsid w:val="00514E9F"/>
    <w:rsid w:val="005154E6"/>
    <w:rsid w:val="00516C60"/>
    <w:rsid w:val="005238D1"/>
    <w:rsid w:val="00530F56"/>
    <w:rsid w:val="00537DDF"/>
    <w:rsid w:val="00544E78"/>
    <w:rsid w:val="00553141"/>
    <w:rsid w:val="0055491F"/>
    <w:rsid w:val="00561162"/>
    <w:rsid w:val="00565727"/>
    <w:rsid w:val="005664A9"/>
    <w:rsid w:val="00567BBE"/>
    <w:rsid w:val="005707B3"/>
    <w:rsid w:val="00570C12"/>
    <w:rsid w:val="005710D3"/>
    <w:rsid w:val="00572E73"/>
    <w:rsid w:val="00581C29"/>
    <w:rsid w:val="00584026"/>
    <w:rsid w:val="005844F5"/>
    <w:rsid w:val="0058749C"/>
    <w:rsid w:val="00597BC9"/>
    <w:rsid w:val="005A5111"/>
    <w:rsid w:val="005A5E48"/>
    <w:rsid w:val="005A68A3"/>
    <w:rsid w:val="005B0A4B"/>
    <w:rsid w:val="005B0BC2"/>
    <w:rsid w:val="005B1982"/>
    <w:rsid w:val="005B2B60"/>
    <w:rsid w:val="005C1B78"/>
    <w:rsid w:val="005C59EA"/>
    <w:rsid w:val="005C6FED"/>
    <w:rsid w:val="005C73CE"/>
    <w:rsid w:val="005C791E"/>
    <w:rsid w:val="005D1CEE"/>
    <w:rsid w:val="005D3B4C"/>
    <w:rsid w:val="005D436E"/>
    <w:rsid w:val="005D71D2"/>
    <w:rsid w:val="005E09A1"/>
    <w:rsid w:val="005E2A9F"/>
    <w:rsid w:val="005E685F"/>
    <w:rsid w:val="005E6E85"/>
    <w:rsid w:val="005E76D3"/>
    <w:rsid w:val="005E79C2"/>
    <w:rsid w:val="005F2451"/>
    <w:rsid w:val="005F2863"/>
    <w:rsid w:val="005F4794"/>
    <w:rsid w:val="005F7F97"/>
    <w:rsid w:val="00602592"/>
    <w:rsid w:val="00605888"/>
    <w:rsid w:val="00606DC8"/>
    <w:rsid w:val="00607DB1"/>
    <w:rsid w:val="00615723"/>
    <w:rsid w:val="00617FC9"/>
    <w:rsid w:val="0062081C"/>
    <w:rsid w:val="00621058"/>
    <w:rsid w:val="006255CF"/>
    <w:rsid w:val="00627491"/>
    <w:rsid w:val="006338B1"/>
    <w:rsid w:val="00645001"/>
    <w:rsid w:val="00645CD4"/>
    <w:rsid w:val="00654169"/>
    <w:rsid w:val="00661F10"/>
    <w:rsid w:val="006639B0"/>
    <w:rsid w:val="00663E24"/>
    <w:rsid w:val="0066435C"/>
    <w:rsid w:val="00664788"/>
    <w:rsid w:val="00664964"/>
    <w:rsid w:val="00664ADE"/>
    <w:rsid w:val="00666672"/>
    <w:rsid w:val="00671CF9"/>
    <w:rsid w:val="00674F6A"/>
    <w:rsid w:val="00685C7F"/>
    <w:rsid w:val="00691E40"/>
    <w:rsid w:val="006A3A4F"/>
    <w:rsid w:val="006B01AD"/>
    <w:rsid w:val="006B40B4"/>
    <w:rsid w:val="006C3033"/>
    <w:rsid w:val="006C34C6"/>
    <w:rsid w:val="006C354F"/>
    <w:rsid w:val="006C382E"/>
    <w:rsid w:val="006C5044"/>
    <w:rsid w:val="006C7A5C"/>
    <w:rsid w:val="006C7C4C"/>
    <w:rsid w:val="006D0A57"/>
    <w:rsid w:val="006D0F94"/>
    <w:rsid w:val="006D171B"/>
    <w:rsid w:val="006E0705"/>
    <w:rsid w:val="006E10C9"/>
    <w:rsid w:val="006E1E73"/>
    <w:rsid w:val="006E2D77"/>
    <w:rsid w:val="006E6DE2"/>
    <w:rsid w:val="006F14FF"/>
    <w:rsid w:val="006F3D67"/>
    <w:rsid w:val="006F55FB"/>
    <w:rsid w:val="007027E2"/>
    <w:rsid w:val="00702CFA"/>
    <w:rsid w:val="00702EE6"/>
    <w:rsid w:val="007066DC"/>
    <w:rsid w:val="007067AC"/>
    <w:rsid w:val="007102A0"/>
    <w:rsid w:val="00710BEC"/>
    <w:rsid w:val="00710C33"/>
    <w:rsid w:val="0071206A"/>
    <w:rsid w:val="007122D3"/>
    <w:rsid w:val="0071522D"/>
    <w:rsid w:val="0072018B"/>
    <w:rsid w:val="007239D1"/>
    <w:rsid w:val="00725892"/>
    <w:rsid w:val="00733B57"/>
    <w:rsid w:val="007346F3"/>
    <w:rsid w:val="00735AE3"/>
    <w:rsid w:val="007412AC"/>
    <w:rsid w:val="00744D51"/>
    <w:rsid w:val="00746DF5"/>
    <w:rsid w:val="0074763B"/>
    <w:rsid w:val="007521FC"/>
    <w:rsid w:val="00752F18"/>
    <w:rsid w:val="00753A2C"/>
    <w:rsid w:val="00757C98"/>
    <w:rsid w:val="00763A21"/>
    <w:rsid w:val="0076413F"/>
    <w:rsid w:val="00765119"/>
    <w:rsid w:val="00765777"/>
    <w:rsid w:val="007663C1"/>
    <w:rsid w:val="007751E8"/>
    <w:rsid w:val="00775502"/>
    <w:rsid w:val="0077763B"/>
    <w:rsid w:val="00777D7A"/>
    <w:rsid w:val="00781DD0"/>
    <w:rsid w:val="00782D0C"/>
    <w:rsid w:val="00787822"/>
    <w:rsid w:val="00795636"/>
    <w:rsid w:val="007A3D31"/>
    <w:rsid w:val="007B36CB"/>
    <w:rsid w:val="007B576E"/>
    <w:rsid w:val="007B66E1"/>
    <w:rsid w:val="007B6FE5"/>
    <w:rsid w:val="007C7731"/>
    <w:rsid w:val="007C7F99"/>
    <w:rsid w:val="007D07DE"/>
    <w:rsid w:val="007D768C"/>
    <w:rsid w:val="007E0364"/>
    <w:rsid w:val="007E0850"/>
    <w:rsid w:val="007E1289"/>
    <w:rsid w:val="007E40F6"/>
    <w:rsid w:val="007F5A47"/>
    <w:rsid w:val="00800052"/>
    <w:rsid w:val="008066DE"/>
    <w:rsid w:val="0081033E"/>
    <w:rsid w:val="008125C5"/>
    <w:rsid w:val="00817C88"/>
    <w:rsid w:val="00823B64"/>
    <w:rsid w:val="008240DC"/>
    <w:rsid w:val="00826A4D"/>
    <w:rsid w:val="0083054C"/>
    <w:rsid w:val="008321D3"/>
    <w:rsid w:val="00833242"/>
    <w:rsid w:val="00841650"/>
    <w:rsid w:val="008441F7"/>
    <w:rsid w:val="00844A1A"/>
    <w:rsid w:val="00844E29"/>
    <w:rsid w:val="0084797F"/>
    <w:rsid w:val="00851769"/>
    <w:rsid w:val="00855428"/>
    <w:rsid w:val="00856F12"/>
    <w:rsid w:val="00862D24"/>
    <w:rsid w:val="00876FFA"/>
    <w:rsid w:val="00880D1D"/>
    <w:rsid w:val="00881190"/>
    <w:rsid w:val="00882CF4"/>
    <w:rsid w:val="008830C1"/>
    <w:rsid w:val="00884965"/>
    <w:rsid w:val="008914C9"/>
    <w:rsid w:val="00894984"/>
    <w:rsid w:val="008A05F6"/>
    <w:rsid w:val="008A631C"/>
    <w:rsid w:val="008B123D"/>
    <w:rsid w:val="008B50EA"/>
    <w:rsid w:val="008E268A"/>
    <w:rsid w:val="008E4DE8"/>
    <w:rsid w:val="008E5FB1"/>
    <w:rsid w:val="008E60A3"/>
    <w:rsid w:val="008E712A"/>
    <w:rsid w:val="008F136B"/>
    <w:rsid w:val="008F13AB"/>
    <w:rsid w:val="008F5DD5"/>
    <w:rsid w:val="008F7E72"/>
    <w:rsid w:val="00900A1C"/>
    <w:rsid w:val="00902A9B"/>
    <w:rsid w:val="009054E7"/>
    <w:rsid w:val="0090591D"/>
    <w:rsid w:val="00911E49"/>
    <w:rsid w:val="00912F31"/>
    <w:rsid w:val="009130B5"/>
    <w:rsid w:val="009162BC"/>
    <w:rsid w:val="00916F9A"/>
    <w:rsid w:val="009219E8"/>
    <w:rsid w:val="00922DED"/>
    <w:rsid w:val="009250F4"/>
    <w:rsid w:val="00942173"/>
    <w:rsid w:val="00944DF8"/>
    <w:rsid w:val="00950334"/>
    <w:rsid w:val="009511C5"/>
    <w:rsid w:val="009514B5"/>
    <w:rsid w:val="00952F45"/>
    <w:rsid w:val="00953F4D"/>
    <w:rsid w:val="00963C25"/>
    <w:rsid w:val="009703A5"/>
    <w:rsid w:val="00975C63"/>
    <w:rsid w:val="00977306"/>
    <w:rsid w:val="0098010E"/>
    <w:rsid w:val="00980FAD"/>
    <w:rsid w:val="00981F73"/>
    <w:rsid w:val="00983E3C"/>
    <w:rsid w:val="009863E3"/>
    <w:rsid w:val="00994528"/>
    <w:rsid w:val="009945BC"/>
    <w:rsid w:val="009953C5"/>
    <w:rsid w:val="00996750"/>
    <w:rsid w:val="009A3089"/>
    <w:rsid w:val="009A5219"/>
    <w:rsid w:val="009A6D5A"/>
    <w:rsid w:val="009B4AFD"/>
    <w:rsid w:val="009B5252"/>
    <w:rsid w:val="009B5C92"/>
    <w:rsid w:val="009B7618"/>
    <w:rsid w:val="009C2A39"/>
    <w:rsid w:val="009C4F82"/>
    <w:rsid w:val="009D0CD3"/>
    <w:rsid w:val="009D49C1"/>
    <w:rsid w:val="009D6AB3"/>
    <w:rsid w:val="009E1E79"/>
    <w:rsid w:val="009E6EE7"/>
    <w:rsid w:val="009F6DAD"/>
    <w:rsid w:val="00A001B5"/>
    <w:rsid w:val="00A04AD2"/>
    <w:rsid w:val="00A13A72"/>
    <w:rsid w:val="00A22E4F"/>
    <w:rsid w:val="00A25DD4"/>
    <w:rsid w:val="00A25FC8"/>
    <w:rsid w:val="00A315BD"/>
    <w:rsid w:val="00A373AE"/>
    <w:rsid w:val="00A423E1"/>
    <w:rsid w:val="00A43F86"/>
    <w:rsid w:val="00A4753C"/>
    <w:rsid w:val="00A50204"/>
    <w:rsid w:val="00A5024F"/>
    <w:rsid w:val="00A53EBE"/>
    <w:rsid w:val="00A5406E"/>
    <w:rsid w:val="00A54351"/>
    <w:rsid w:val="00A5652D"/>
    <w:rsid w:val="00A60699"/>
    <w:rsid w:val="00A60763"/>
    <w:rsid w:val="00A618E4"/>
    <w:rsid w:val="00A71F11"/>
    <w:rsid w:val="00A72100"/>
    <w:rsid w:val="00A755C4"/>
    <w:rsid w:val="00A82544"/>
    <w:rsid w:val="00A8463F"/>
    <w:rsid w:val="00A95451"/>
    <w:rsid w:val="00A9566C"/>
    <w:rsid w:val="00AA39F6"/>
    <w:rsid w:val="00AA51D3"/>
    <w:rsid w:val="00AA5E9C"/>
    <w:rsid w:val="00AB091D"/>
    <w:rsid w:val="00AB0A02"/>
    <w:rsid w:val="00ABEFB4"/>
    <w:rsid w:val="00AC09A7"/>
    <w:rsid w:val="00AC1015"/>
    <w:rsid w:val="00AC1307"/>
    <w:rsid w:val="00AC6124"/>
    <w:rsid w:val="00AD25C0"/>
    <w:rsid w:val="00AD699C"/>
    <w:rsid w:val="00AE38C5"/>
    <w:rsid w:val="00AE584F"/>
    <w:rsid w:val="00AE6A15"/>
    <w:rsid w:val="00AF2B47"/>
    <w:rsid w:val="00B02C2D"/>
    <w:rsid w:val="00B04930"/>
    <w:rsid w:val="00B0645E"/>
    <w:rsid w:val="00B14289"/>
    <w:rsid w:val="00B14321"/>
    <w:rsid w:val="00B145BD"/>
    <w:rsid w:val="00B220E0"/>
    <w:rsid w:val="00B22D7A"/>
    <w:rsid w:val="00B27682"/>
    <w:rsid w:val="00B337DA"/>
    <w:rsid w:val="00B36FF1"/>
    <w:rsid w:val="00B3729E"/>
    <w:rsid w:val="00B3788B"/>
    <w:rsid w:val="00B37FA0"/>
    <w:rsid w:val="00B404B4"/>
    <w:rsid w:val="00B43D2D"/>
    <w:rsid w:val="00B441B7"/>
    <w:rsid w:val="00B45F6B"/>
    <w:rsid w:val="00B54BB5"/>
    <w:rsid w:val="00B60B52"/>
    <w:rsid w:val="00B7309F"/>
    <w:rsid w:val="00B75436"/>
    <w:rsid w:val="00B77EBA"/>
    <w:rsid w:val="00B91127"/>
    <w:rsid w:val="00B964EA"/>
    <w:rsid w:val="00B967B7"/>
    <w:rsid w:val="00BA7FC7"/>
    <w:rsid w:val="00BB1614"/>
    <w:rsid w:val="00BB43E8"/>
    <w:rsid w:val="00BC28B2"/>
    <w:rsid w:val="00BC3EA9"/>
    <w:rsid w:val="00BC3F3D"/>
    <w:rsid w:val="00BD66AA"/>
    <w:rsid w:val="00BE0DF1"/>
    <w:rsid w:val="00BE0E39"/>
    <w:rsid w:val="00BE344E"/>
    <w:rsid w:val="00BE52C3"/>
    <w:rsid w:val="00BE5347"/>
    <w:rsid w:val="00BE6C5C"/>
    <w:rsid w:val="00BF5E25"/>
    <w:rsid w:val="00C01303"/>
    <w:rsid w:val="00C02C5F"/>
    <w:rsid w:val="00C0474D"/>
    <w:rsid w:val="00C070C8"/>
    <w:rsid w:val="00C078E9"/>
    <w:rsid w:val="00C07AD7"/>
    <w:rsid w:val="00C100BF"/>
    <w:rsid w:val="00C12199"/>
    <w:rsid w:val="00C1556F"/>
    <w:rsid w:val="00C40174"/>
    <w:rsid w:val="00C411DB"/>
    <w:rsid w:val="00C4296C"/>
    <w:rsid w:val="00C44BB1"/>
    <w:rsid w:val="00C47F09"/>
    <w:rsid w:val="00C54D9A"/>
    <w:rsid w:val="00C56625"/>
    <w:rsid w:val="00C6133D"/>
    <w:rsid w:val="00C6219E"/>
    <w:rsid w:val="00C63FAB"/>
    <w:rsid w:val="00C656E2"/>
    <w:rsid w:val="00C701A0"/>
    <w:rsid w:val="00C70720"/>
    <w:rsid w:val="00C73F62"/>
    <w:rsid w:val="00C80E13"/>
    <w:rsid w:val="00C82B05"/>
    <w:rsid w:val="00C85CC0"/>
    <w:rsid w:val="00C85E96"/>
    <w:rsid w:val="00C86373"/>
    <w:rsid w:val="00C90EEF"/>
    <w:rsid w:val="00C94606"/>
    <w:rsid w:val="00CA0A36"/>
    <w:rsid w:val="00CA250D"/>
    <w:rsid w:val="00CA307D"/>
    <w:rsid w:val="00CA4E34"/>
    <w:rsid w:val="00CA4E98"/>
    <w:rsid w:val="00CA7CE7"/>
    <w:rsid w:val="00CB0914"/>
    <w:rsid w:val="00CB5170"/>
    <w:rsid w:val="00CB596C"/>
    <w:rsid w:val="00CB7FD8"/>
    <w:rsid w:val="00CC1A0C"/>
    <w:rsid w:val="00CC1AE7"/>
    <w:rsid w:val="00CC23DC"/>
    <w:rsid w:val="00CC2EF2"/>
    <w:rsid w:val="00CC5269"/>
    <w:rsid w:val="00CC74BC"/>
    <w:rsid w:val="00CC7A17"/>
    <w:rsid w:val="00CE38A1"/>
    <w:rsid w:val="00CE567A"/>
    <w:rsid w:val="00CE7A73"/>
    <w:rsid w:val="00CF02FE"/>
    <w:rsid w:val="00CF292A"/>
    <w:rsid w:val="00CF3927"/>
    <w:rsid w:val="00CF5E8F"/>
    <w:rsid w:val="00CF63DD"/>
    <w:rsid w:val="00D104B7"/>
    <w:rsid w:val="00D10AE1"/>
    <w:rsid w:val="00D11116"/>
    <w:rsid w:val="00D12CEE"/>
    <w:rsid w:val="00D144EA"/>
    <w:rsid w:val="00D2278E"/>
    <w:rsid w:val="00D24F29"/>
    <w:rsid w:val="00D31238"/>
    <w:rsid w:val="00D4619D"/>
    <w:rsid w:val="00D5130C"/>
    <w:rsid w:val="00D51BF7"/>
    <w:rsid w:val="00D53E20"/>
    <w:rsid w:val="00D568C9"/>
    <w:rsid w:val="00D57176"/>
    <w:rsid w:val="00D62FF0"/>
    <w:rsid w:val="00D6722C"/>
    <w:rsid w:val="00D74E80"/>
    <w:rsid w:val="00D84686"/>
    <w:rsid w:val="00D858C7"/>
    <w:rsid w:val="00D866B8"/>
    <w:rsid w:val="00D9105B"/>
    <w:rsid w:val="00D957E4"/>
    <w:rsid w:val="00DA2232"/>
    <w:rsid w:val="00DA6E69"/>
    <w:rsid w:val="00DB009A"/>
    <w:rsid w:val="00DB0918"/>
    <w:rsid w:val="00DB12D7"/>
    <w:rsid w:val="00DB1FB3"/>
    <w:rsid w:val="00DB328C"/>
    <w:rsid w:val="00DB3691"/>
    <w:rsid w:val="00DB4682"/>
    <w:rsid w:val="00DB5025"/>
    <w:rsid w:val="00DB50EB"/>
    <w:rsid w:val="00DC14C1"/>
    <w:rsid w:val="00DC1E82"/>
    <w:rsid w:val="00DC2DBB"/>
    <w:rsid w:val="00DC2EF1"/>
    <w:rsid w:val="00DC539E"/>
    <w:rsid w:val="00DC7EE1"/>
    <w:rsid w:val="00DC7FFA"/>
    <w:rsid w:val="00DD1288"/>
    <w:rsid w:val="00DD1BF4"/>
    <w:rsid w:val="00DD231C"/>
    <w:rsid w:val="00DD4157"/>
    <w:rsid w:val="00DD6650"/>
    <w:rsid w:val="00DD6F8F"/>
    <w:rsid w:val="00DE1A95"/>
    <w:rsid w:val="00DE6252"/>
    <w:rsid w:val="00DE7BD7"/>
    <w:rsid w:val="00DF1168"/>
    <w:rsid w:val="00DF33F2"/>
    <w:rsid w:val="00E0250F"/>
    <w:rsid w:val="00E0513E"/>
    <w:rsid w:val="00E0530F"/>
    <w:rsid w:val="00E05A46"/>
    <w:rsid w:val="00E11725"/>
    <w:rsid w:val="00E142BC"/>
    <w:rsid w:val="00E147EF"/>
    <w:rsid w:val="00E159F0"/>
    <w:rsid w:val="00E175ED"/>
    <w:rsid w:val="00E17B57"/>
    <w:rsid w:val="00E24B0B"/>
    <w:rsid w:val="00E24D3F"/>
    <w:rsid w:val="00E24D85"/>
    <w:rsid w:val="00E27A97"/>
    <w:rsid w:val="00E31C54"/>
    <w:rsid w:val="00E349C2"/>
    <w:rsid w:val="00E35071"/>
    <w:rsid w:val="00E354EC"/>
    <w:rsid w:val="00E37CE2"/>
    <w:rsid w:val="00E40FDE"/>
    <w:rsid w:val="00E43D6E"/>
    <w:rsid w:val="00E46E19"/>
    <w:rsid w:val="00E47099"/>
    <w:rsid w:val="00E502C8"/>
    <w:rsid w:val="00E51B3F"/>
    <w:rsid w:val="00E51EFB"/>
    <w:rsid w:val="00E52653"/>
    <w:rsid w:val="00E532A3"/>
    <w:rsid w:val="00E53B55"/>
    <w:rsid w:val="00E56779"/>
    <w:rsid w:val="00E64BEE"/>
    <w:rsid w:val="00E651D3"/>
    <w:rsid w:val="00E67FB8"/>
    <w:rsid w:val="00E7063F"/>
    <w:rsid w:val="00E77568"/>
    <w:rsid w:val="00E809B0"/>
    <w:rsid w:val="00E8207E"/>
    <w:rsid w:val="00E83F09"/>
    <w:rsid w:val="00E85C78"/>
    <w:rsid w:val="00E91498"/>
    <w:rsid w:val="00E9221D"/>
    <w:rsid w:val="00E96748"/>
    <w:rsid w:val="00EA100D"/>
    <w:rsid w:val="00EA217B"/>
    <w:rsid w:val="00EB02B0"/>
    <w:rsid w:val="00EB03BB"/>
    <w:rsid w:val="00EB3746"/>
    <w:rsid w:val="00EB4D72"/>
    <w:rsid w:val="00EB536B"/>
    <w:rsid w:val="00EB5C0B"/>
    <w:rsid w:val="00EB6012"/>
    <w:rsid w:val="00EB6756"/>
    <w:rsid w:val="00EB6BD9"/>
    <w:rsid w:val="00EC342D"/>
    <w:rsid w:val="00EC3A23"/>
    <w:rsid w:val="00EC59BD"/>
    <w:rsid w:val="00ED4CF5"/>
    <w:rsid w:val="00EE09F4"/>
    <w:rsid w:val="00EE15E3"/>
    <w:rsid w:val="00EE427C"/>
    <w:rsid w:val="00EF1217"/>
    <w:rsid w:val="00F122D9"/>
    <w:rsid w:val="00F12EE9"/>
    <w:rsid w:val="00F13A68"/>
    <w:rsid w:val="00F202EE"/>
    <w:rsid w:val="00F24979"/>
    <w:rsid w:val="00F26FF3"/>
    <w:rsid w:val="00F32856"/>
    <w:rsid w:val="00F32A04"/>
    <w:rsid w:val="00F43E65"/>
    <w:rsid w:val="00F4415B"/>
    <w:rsid w:val="00F52877"/>
    <w:rsid w:val="00F55207"/>
    <w:rsid w:val="00F60233"/>
    <w:rsid w:val="00F606CB"/>
    <w:rsid w:val="00F63669"/>
    <w:rsid w:val="00F662C0"/>
    <w:rsid w:val="00F72E1A"/>
    <w:rsid w:val="00F8181E"/>
    <w:rsid w:val="00F8186B"/>
    <w:rsid w:val="00F82D22"/>
    <w:rsid w:val="00F87ACA"/>
    <w:rsid w:val="00F921D7"/>
    <w:rsid w:val="00F94E97"/>
    <w:rsid w:val="00FA4939"/>
    <w:rsid w:val="00FA7A94"/>
    <w:rsid w:val="00FB639E"/>
    <w:rsid w:val="00FC469B"/>
    <w:rsid w:val="00FC6041"/>
    <w:rsid w:val="00FD3D90"/>
    <w:rsid w:val="00FD5315"/>
    <w:rsid w:val="00FD6E31"/>
    <w:rsid w:val="00FE4700"/>
    <w:rsid w:val="00FF3257"/>
    <w:rsid w:val="00FF69A2"/>
    <w:rsid w:val="010ADCC2"/>
    <w:rsid w:val="012763D8"/>
    <w:rsid w:val="02A5A4AA"/>
    <w:rsid w:val="02DC0821"/>
    <w:rsid w:val="02DF83E1"/>
    <w:rsid w:val="02FF867D"/>
    <w:rsid w:val="034A0FDD"/>
    <w:rsid w:val="03DAF40E"/>
    <w:rsid w:val="0478810C"/>
    <w:rsid w:val="05413765"/>
    <w:rsid w:val="05525795"/>
    <w:rsid w:val="06314F84"/>
    <w:rsid w:val="0738C468"/>
    <w:rsid w:val="07B19BE2"/>
    <w:rsid w:val="08160993"/>
    <w:rsid w:val="093F611A"/>
    <w:rsid w:val="0A641FAF"/>
    <w:rsid w:val="0AF6FDC0"/>
    <w:rsid w:val="0B1DDF1E"/>
    <w:rsid w:val="0B5E6A2F"/>
    <w:rsid w:val="0B840588"/>
    <w:rsid w:val="0CC2D1D3"/>
    <w:rsid w:val="0DA60591"/>
    <w:rsid w:val="0EC75F56"/>
    <w:rsid w:val="0F0CD8A5"/>
    <w:rsid w:val="10DE6393"/>
    <w:rsid w:val="116E2658"/>
    <w:rsid w:val="122936ED"/>
    <w:rsid w:val="126CA6D2"/>
    <w:rsid w:val="128504BF"/>
    <w:rsid w:val="12C9FD15"/>
    <w:rsid w:val="143A5309"/>
    <w:rsid w:val="14ED2286"/>
    <w:rsid w:val="16CE41F3"/>
    <w:rsid w:val="16D2E2E8"/>
    <w:rsid w:val="17647C2C"/>
    <w:rsid w:val="18C64165"/>
    <w:rsid w:val="18CF9396"/>
    <w:rsid w:val="1905BCB2"/>
    <w:rsid w:val="19BF2E79"/>
    <w:rsid w:val="19ECF66B"/>
    <w:rsid w:val="1A28DF8C"/>
    <w:rsid w:val="1BFA1234"/>
    <w:rsid w:val="1CB05C55"/>
    <w:rsid w:val="1D4CC0A8"/>
    <w:rsid w:val="20F8F9CC"/>
    <w:rsid w:val="216459B9"/>
    <w:rsid w:val="2191932B"/>
    <w:rsid w:val="223FA993"/>
    <w:rsid w:val="230B2161"/>
    <w:rsid w:val="2360B014"/>
    <w:rsid w:val="236DD6C2"/>
    <w:rsid w:val="253DF5D6"/>
    <w:rsid w:val="253F49E5"/>
    <w:rsid w:val="25B4419A"/>
    <w:rsid w:val="25BA5736"/>
    <w:rsid w:val="2765EC58"/>
    <w:rsid w:val="2789BE4A"/>
    <w:rsid w:val="27C9AD16"/>
    <w:rsid w:val="28CD841B"/>
    <w:rsid w:val="2A331919"/>
    <w:rsid w:val="2AD64B71"/>
    <w:rsid w:val="2B100285"/>
    <w:rsid w:val="2B2D1434"/>
    <w:rsid w:val="2C980BC1"/>
    <w:rsid w:val="2CAC3D33"/>
    <w:rsid w:val="2CEEDF74"/>
    <w:rsid w:val="2DDBA261"/>
    <w:rsid w:val="2DE41795"/>
    <w:rsid w:val="2E36F01F"/>
    <w:rsid w:val="2EE0570C"/>
    <w:rsid w:val="2F19B21A"/>
    <w:rsid w:val="3032D6FD"/>
    <w:rsid w:val="305086D6"/>
    <w:rsid w:val="305B1606"/>
    <w:rsid w:val="30D19A92"/>
    <w:rsid w:val="3107A031"/>
    <w:rsid w:val="31A3E870"/>
    <w:rsid w:val="31B3DFFA"/>
    <w:rsid w:val="32A960ED"/>
    <w:rsid w:val="32B796ED"/>
    <w:rsid w:val="331B1E72"/>
    <w:rsid w:val="34BC0F45"/>
    <w:rsid w:val="35B1F1A5"/>
    <w:rsid w:val="360D980E"/>
    <w:rsid w:val="366A2030"/>
    <w:rsid w:val="36D9F434"/>
    <w:rsid w:val="37254F76"/>
    <w:rsid w:val="372DE2AF"/>
    <w:rsid w:val="372E3FA0"/>
    <w:rsid w:val="376A8524"/>
    <w:rsid w:val="381876E1"/>
    <w:rsid w:val="384DBC46"/>
    <w:rsid w:val="38AD1DF8"/>
    <w:rsid w:val="39D4C4FF"/>
    <w:rsid w:val="3A17ED06"/>
    <w:rsid w:val="3BC5DB53"/>
    <w:rsid w:val="3BFF6585"/>
    <w:rsid w:val="3C49F8A2"/>
    <w:rsid w:val="3C74EA38"/>
    <w:rsid w:val="3CE1D506"/>
    <w:rsid w:val="3EE03277"/>
    <w:rsid w:val="3F7C4A12"/>
    <w:rsid w:val="3F97C203"/>
    <w:rsid w:val="3FB7EB46"/>
    <w:rsid w:val="401D5146"/>
    <w:rsid w:val="4044EB6A"/>
    <w:rsid w:val="436035C6"/>
    <w:rsid w:val="43B519F3"/>
    <w:rsid w:val="43D17BF0"/>
    <w:rsid w:val="44C5C698"/>
    <w:rsid w:val="44E16F1C"/>
    <w:rsid w:val="45FA43B9"/>
    <w:rsid w:val="464BB519"/>
    <w:rsid w:val="476CEEC5"/>
    <w:rsid w:val="48149FA1"/>
    <w:rsid w:val="4844D0CB"/>
    <w:rsid w:val="486C6F29"/>
    <w:rsid w:val="488C3D77"/>
    <w:rsid w:val="49DAF44F"/>
    <w:rsid w:val="4A1E3B03"/>
    <w:rsid w:val="4A2A8139"/>
    <w:rsid w:val="4BF5379F"/>
    <w:rsid w:val="4C59FB16"/>
    <w:rsid w:val="4DA572F0"/>
    <w:rsid w:val="4E84B040"/>
    <w:rsid w:val="4FC042CC"/>
    <w:rsid w:val="50382849"/>
    <w:rsid w:val="50ED1666"/>
    <w:rsid w:val="51777640"/>
    <w:rsid w:val="52829E33"/>
    <w:rsid w:val="52B883EF"/>
    <w:rsid w:val="5409B13F"/>
    <w:rsid w:val="544C0E24"/>
    <w:rsid w:val="5664E437"/>
    <w:rsid w:val="56D83443"/>
    <w:rsid w:val="57A895E8"/>
    <w:rsid w:val="58031059"/>
    <w:rsid w:val="58B580F5"/>
    <w:rsid w:val="591EF488"/>
    <w:rsid w:val="5930FD9D"/>
    <w:rsid w:val="596D4200"/>
    <w:rsid w:val="59B6251F"/>
    <w:rsid w:val="59CBDCCD"/>
    <w:rsid w:val="5A0D2826"/>
    <w:rsid w:val="5A262D17"/>
    <w:rsid w:val="5A9E1D7F"/>
    <w:rsid w:val="5AC76DE4"/>
    <w:rsid w:val="5B2C04B7"/>
    <w:rsid w:val="5C673983"/>
    <w:rsid w:val="5CA8593C"/>
    <w:rsid w:val="5CBE8AED"/>
    <w:rsid w:val="5D8A2C2D"/>
    <w:rsid w:val="5EDAA2EB"/>
    <w:rsid w:val="5F7AF276"/>
    <w:rsid w:val="5F9926AA"/>
    <w:rsid w:val="5FE0E048"/>
    <w:rsid w:val="5FE72855"/>
    <w:rsid w:val="5FE7EE74"/>
    <w:rsid w:val="60089555"/>
    <w:rsid w:val="60D5BF18"/>
    <w:rsid w:val="60FFF24E"/>
    <w:rsid w:val="6131AFED"/>
    <w:rsid w:val="619D17A1"/>
    <w:rsid w:val="6202A88E"/>
    <w:rsid w:val="6293BFA0"/>
    <w:rsid w:val="62945A77"/>
    <w:rsid w:val="6386B404"/>
    <w:rsid w:val="63949CCD"/>
    <w:rsid w:val="63B44151"/>
    <w:rsid w:val="63DE2A2A"/>
    <w:rsid w:val="64AFC2AD"/>
    <w:rsid w:val="651BCC68"/>
    <w:rsid w:val="65336E82"/>
    <w:rsid w:val="65CC264A"/>
    <w:rsid w:val="673E36B3"/>
    <w:rsid w:val="6843AC9D"/>
    <w:rsid w:val="68EC8113"/>
    <w:rsid w:val="6A0AB01A"/>
    <w:rsid w:val="6A68FA2C"/>
    <w:rsid w:val="6B30E123"/>
    <w:rsid w:val="6B3737F9"/>
    <w:rsid w:val="6B3F58E3"/>
    <w:rsid w:val="6B76145C"/>
    <w:rsid w:val="6BA162A6"/>
    <w:rsid w:val="6C09866E"/>
    <w:rsid w:val="6C5CE472"/>
    <w:rsid w:val="6D837A6A"/>
    <w:rsid w:val="6D910385"/>
    <w:rsid w:val="6DB377CA"/>
    <w:rsid w:val="6E435761"/>
    <w:rsid w:val="6E7B029A"/>
    <w:rsid w:val="6EC23D6D"/>
    <w:rsid w:val="6EEBF663"/>
    <w:rsid w:val="6F899435"/>
    <w:rsid w:val="70AA2A7A"/>
    <w:rsid w:val="70E9D842"/>
    <w:rsid w:val="7273AB50"/>
    <w:rsid w:val="738C5D1A"/>
    <w:rsid w:val="743AE9D2"/>
    <w:rsid w:val="74C8C9AC"/>
    <w:rsid w:val="75FB2C6F"/>
    <w:rsid w:val="77B04D48"/>
    <w:rsid w:val="78424BAF"/>
    <w:rsid w:val="791DCF4D"/>
    <w:rsid w:val="7A2AABB3"/>
    <w:rsid w:val="7A3A9CDE"/>
    <w:rsid w:val="7B77DFA9"/>
    <w:rsid w:val="7B7EB93E"/>
    <w:rsid w:val="7BFADD50"/>
    <w:rsid w:val="7C33868D"/>
    <w:rsid w:val="7D0E6E71"/>
    <w:rsid w:val="7D33BFDB"/>
    <w:rsid w:val="7D7954D6"/>
    <w:rsid w:val="7E29742E"/>
    <w:rsid w:val="7E8D9BE4"/>
    <w:rsid w:val="7EA3AFE7"/>
    <w:rsid w:val="7EBC240D"/>
    <w:rsid w:val="7F1AC658"/>
    <w:rsid w:val="7F73FF95"/>
    <w:rsid w:val="7FB8B6E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EFF40"/>
  <w15:docId w15:val="{7CDFFCC5-EE5F-46A7-9E0B-56518DA4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2D9"/>
    <w:pPr>
      <w:spacing w:line="276" w:lineRule="auto"/>
    </w:pPr>
    <w:rPr>
      <w:rFonts w:ascii="Arial" w:hAnsi="Arial"/>
    </w:rPr>
  </w:style>
  <w:style w:type="paragraph" w:styleId="Heading1">
    <w:name w:val="heading 1"/>
    <w:basedOn w:val="Normal"/>
    <w:next w:val="Normal"/>
    <w:link w:val="Heading1Char"/>
    <w:uiPriority w:val="9"/>
    <w:qFormat/>
    <w:rsid w:val="00E0513E"/>
    <w:pPr>
      <w:keepNext/>
      <w:keepLines/>
      <w:numPr>
        <w:numId w:val="2"/>
      </w:numPr>
      <w:spacing w:before="480" w:after="240" w:line="360" w:lineRule="auto"/>
      <w:contextualSpacing/>
      <w:outlineLvl w:val="0"/>
    </w:pPr>
    <w:rPr>
      <w:rFonts w:eastAsiaTheme="majorEastAsia" w:cs="Arial"/>
      <w:b/>
      <w:bCs/>
      <w:caps/>
      <w:sz w:val="24"/>
      <w:szCs w:val="24"/>
    </w:rPr>
  </w:style>
  <w:style w:type="paragraph" w:styleId="Heading2">
    <w:name w:val="heading 2"/>
    <w:basedOn w:val="Normal"/>
    <w:next w:val="Normal"/>
    <w:link w:val="Heading2Char"/>
    <w:uiPriority w:val="9"/>
    <w:unhideWhenUsed/>
    <w:qFormat/>
    <w:rsid w:val="00E0513E"/>
    <w:pPr>
      <w:keepNext/>
      <w:keepLines/>
      <w:numPr>
        <w:ilvl w:val="1"/>
        <w:numId w:val="2"/>
      </w:numPr>
      <w:spacing w:before="240" w:after="240" w:line="360" w:lineRule="auto"/>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E0513E"/>
    <w:pPr>
      <w:keepNext/>
      <w:keepLines/>
      <w:numPr>
        <w:ilvl w:val="2"/>
        <w:numId w:val="2"/>
      </w:numPr>
      <w:spacing w:before="240" w:after="240" w:line="360" w:lineRule="auto"/>
      <w:outlineLvl w:val="2"/>
    </w:pPr>
    <w:rPr>
      <w:rFonts w:eastAsiaTheme="majorEastAsia" w:cs="Arial"/>
      <w:b/>
      <w:bCs/>
      <w:i/>
      <w:sz w:val="24"/>
      <w:szCs w:val="24"/>
    </w:rPr>
  </w:style>
  <w:style w:type="paragraph" w:styleId="Heading4">
    <w:name w:val="heading 4"/>
    <w:basedOn w:val="Normal"/>
    <w:next w:val="Normal"/>
    <w:link w:val="Heading4Char"/>
    <w:uiPriority w:val="9"/>
    <w:unhideWhenUsed/>
    <w:qFormat/>
    <w:rsid w:val="00E0513E"/>
    <w:pPr>
      <w:keepNext/>
      <w:keepLines/>
      <w:numPr>
        <w:ilvl w:val="3"/>
        <w:numId w:val="2"/>
      </w:numPr>
      <w:spacing w:before="240" w:after="240" w:line="360" w:lineRule="auto"/>
      <w:outlineLvl w:val="3"/>
    </w:pPr>
    <w:rPr>
      <w:rFonts w:eastAsiaTheme="majorEastAsia" w:cs="Arial"/>
      <w:bCs/>
      <w:i/>
      <w:iCs/>
      <w:sz w:val="24"/>
      <w:szCs w:val="24"/>
    </w:rPr>
  </w:style>
  <w:style w:type="paragraph" w:styleId="Heading5">
    <w:name w:val="heading 5"/>
    <w:basedOn w:val="Normal"/>
    <w:next w:val="Normal"/>
    <w:link w:val="Heading5Char"/>
    <w:uiPriority w:val="9"/>
    <w:semiHidden/>
    <w:unhideWhenUsed/>
    <w:qFormat/>
    <w:rsid w:val="00EC3A23"/>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EC3A23"/>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EC3A2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3A2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3A2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13E"/>
    <w:rPr>
      <w:rFonts w:ascii="Arial" w:eastAsiaTheme="majorEastAsia" w:hAnsi="Arial" w:cs="Arial"/>
      <w:b/>
      <w:bCs/>
      <w:caps/>
      <w:sz w:val="24"/>
      <w:szCs w:val="24"/>
    </w:rPr>
  </w:style>
  <w:style w:type="character" w:customStyle="1" w:styleId="Heading2Char">
    <w:name w:val="Heading 2 Char"/>
    <w:basedOn w:val="DefaultParagraphFont"/>
    <w:link w:val="Heading2"/>
    <w:uiPriority w:val="9"/>
    <w:rsid w:val="00E0513E"/>
    <w:rPr>
      <w:rFonts w:ascii="Arial" w:eastAsiaTheme="majorEastAsia" w:hAnsi="Arial" w:cs="Arial"/>
      <w:b/>
      <w:bCs/>
      <w:sz w:val="24"/>
      <w:szCs w:val="24"/>
    </w:rPr>
  </w:style>
  <w:style w:type="character" w:customStyle="1" w:styleId="Heading3Char">
    <w:name w:val="Heading 3 Char"/>
    <w:basedOn w:val="DefaultParagraphFont"/>
    <w:link w:val="Heading3"/>
    <w:uiPriority w:val="9"/>
    <w:rsid w:val="00E0513E"/>
    <w:rPr>
      <w:rFonts w:ascii="Arial" w:eastAsiaTheme="majorEastAsia" w:hAnsi="Arial" w:cs="Arial"/>
      <w:b/>
      <w:bCs/>
      <w:i/>
      <w:sz w:val="24"/>
      <w:szCs w:val="24"/>
    </w:rPr>
  </w:style>
  <w:style w:type="character" w:customStyle="1" w:styleId="Heading4Char">
    <w:name w:val="Heading 4 Char"/>
    <w:basedOn w:val="DefaultParagraphFont"/>
    <w:link w:val="Heading4"/>
    <w:uiPriority w:val="9"/>
    <w:rsid w:val="00E0513E"/>
    <w:rPr>
      <w:rFonts w:ascii="Arial" w:eastAsiaTheme="majorEastAsia" w:hAnsi="Arial" w:cs="Arial"/>
      <w:bCs/>
      <w:i/>
      <w:iCs/>
      <w:sz w:val="24"/>
      <w:szCs w:val="24"/>
    </w:rPr>
  </w:style>
  <w:style w:type="paragraph" w:styleId="Title">
    <w:name w:val="Title"/>
    <w:basedOn w:val="Normal"/>
    <w:next w:val="Normal"/>
    <w:link w:val="TitleChar"/>
    <w:uiPriority w:val="10"/>
    <w:qFormat/>
    <w:rsid w:val="00DB5025"/>
    <w:pPr>
      <w:jc w:val="center"/>
    </w:pPr>
    <w:rPr>
      <w:b/>
      <w:color w:val="005D93"/>
      <w:sz w:val="28"/>
      <w:szCs w:val="28"/>
    </w:rPr>
  </w:style>
  <w:style w:type="character" w:customStyle="1" w:styleId="TitleChar">
    <w:name w:val="Title Char"/>
    <w:basedOn w:val="DefaultParagraphFont"/>
    <w:link w:val="Title"/>
    <w:uiPriority w:val="10"/>
    <w:rsid w:val="00DB5025"/>
    <w:rPr>
      <w:rFonts w:ascii="Arial" w:hAnsi="Arial"/>
      <w:b/>
      <w:color w:val="005D93"/>
      <w:sz w:val="28"/>
      <w:szCs w:val="28"/>
    </w:rPr>
  </w:style>
  <w:style w:type="paragraph" w:styleId="Subtitle">
    <w:name w:val="Subtitle"/>
    <w:basedOn w:val="Normal"/>
    <w:next w:val="Normal"/>
    <w:link w:val="SubtitleChar"/>
    <w:uiPriority w:val="11"/>
    <w:qFormat/>
    <w:rsid w:val="00E0513E"/>
    <w:pPr>
      <w:numPr>
        <w:ilvl w:val="1"/>
      </w:numPr>
      <w:jc w:val="center"/>
    </w:pPr>
    <w:rPr>
      <w:rFonts w:eastAsiaTheme="majorEastAsia" w:cs="Arial"/>
      <w:b/>
      <w:iCs/>
      <w:spacing w:val="15"/>
      <w:sz w:val="24"/>
      <w:szCs w:val="24"/>
    </w:rPr>
  </w:style>
  <w:style w:type="character" w:customStyle="1" w:styleId="SubtitleChar">
    <w:name w:val="Subtitle Char"/>
    <w:basedOn w:val="DefaultParagraphFont"/>
    <w:link w:val="Subtitle"/>
    <w:uiPriority w:val="11"/>
    <w:rsid w:val="00E0513E"/>
    <w:rPr>
      <w:rFonts w:ascii="Arial" w:eastAsiaTheme="majorEastAsia" w:hAnsi="Arial" w:cs="Arial"/>
      <w:b/>
      <w:iCs/>
      <w:spacing w:val="15"/>
      <w:sz w:val="24"/>
      <w:szCs w:val="24"/>
    </w:rPr>
  </w:style>
  <w:style w:type="character" w:styleId="Strong">
    <w:name w:val="Strong"/>
    <w:basedOn w:val="DefaultParagraphFont"/>
    <w:uiPriority w:val="22"/>
    <w:qFormat/>
    <w:rsid w:val="00E0513E"/>
    <w:rPr>
      <w:b/>
      <w:bCs/>
    </w:rPr>
  </w:style>
  <w:style w:type="character" w:styleId="Emphasis">
    <w:name w:val="Emphasis"/>
    <w:basedOn w:val="DefaultParagraphFont"/>
    <w:uiPriority w:val="20"/>
    <w:qFormat/>
    <w:rsid w:val="00E0513E"/>
    <w:rPr>
      <w:i/>
      <w:iCs/>
    </w:rPr>
  </w:style>
  <w:style w:type="paragraph" w:styleId="IntenseQuote">
    <w:name w:val="Intense Quote"/>
    <w:basedOn w:val="Normal"/>
    <w:next w:val="Normal"/>
    <w:link w:val="IntenseQuoteChar"/>
    <w:uiPriority w:val="30"/>
    <w:qFormat/>
    <w:rsid w:val="00E0513E"/>
    <w:pPr>
      <w:ind w:left="720"/>
    </w:pPr>
    <w:rPr>
      <w:b/>
      <w:sz w:val="20"/>
      <w:szCs w:val="20"/>
    </w:rPr>
  </w:style>
  <w:style w:type="character" w:customStyle="1" w:styleId="IntenseQuoteChar">
    <w:name w:val="Intense Quote Char"/>
    <w:basedOn w:val="DefaultParagraphFont"/>
    <w:link w:val="IntenseQuote"/>
    <w:uiPriority w:val="30"/>
    <w:rsid w:val="00E0513E"/>
    <w:rPr>
      <w:rFonts w:ascii="Arial" w:hAnsi="Arial"/>
      <w:b/>
      <w:sz w:val="20"/>
      <w:szCs w:val="20"/>
    </w:rPr>
  </w:style>
  <w:style w:type="character" w:styleId="BookTitle">
    <w:name w:val="Book Title"/>
    <w:basedOn w:val="DefaultParagraphFont"/>
    <w:uiPriority w:val="33"/>
    <w:qFormat/>
    <w:rsid w:val="006F3D67"/>
    <w:rPr>
      <w:b/>
      <w:bCs/>
      <w:smallCaps/>
      <w:spacing w:val="5"/>
    </w:rPr>
  </w:style>
  <w:style w:type="character" w:styleId="SubtleReference">
    <w:name w:val="Subtle Reference"/>
    <w:basedOn w:val="DefaultParagraphFont"/>
    <w:uiPriority w:val="31"/>
    <w:qFormat/>
    <w:rsid w:val="006F3D67"/>
    <w:rPr>
      <w:smallCaps/>
      <w:color w:val="ED7D31" w:themeColor="accent2"/>
      <w:u w:val="single"/>
    </w:rPr>
  </w:style>
  <w:style w:type="character" w:styleId="IntenseReference">
    <w:name w:val="Intense Reference"/>
    <w:basedOn w:val="DefaultParagraphFont"/>
    <w:uiPriority w:val="32"/>
    <w:qFormat/>
    <w:rsid w:val="006F3D67"/>
    <w:rPr>
      <w:b/>
      <w:bCs/>
      <w:smallCaps/>
      <w:color w:val="ED7D31" w:themeColor="accent2"/>
      <w:spacing w:val="5"/>
      <w:u w:val="single"/>
    </w:rPr>
  </w:style>
  <w:style w:type="paragraph" w:styleId="ListParagraph">
    <w:name w:val="List Paragraph"/>
    <w:basedOn w:val="Normal"/>
    <w:uiPriority w:val="34"/>
    <w:qFormat/>
    <w:rsid w:val="00E0513E"/>
    <w:pPr>
      <w:numPr>
        <w:numId w:val="5"/>
      </w:numPr>
      <w:spacing w:after="240"/>
      <w:contextualSpacing/>
    </w:pPr>
  </w:style>
  <w:style w:type="paragraph" w:styleId="NoSpacing">
    <w:name w:val="No Spacing"/>
    <w:uiPriority w:val="1"/>
    <w:qFormat/>
    <w:rsid w:val="006F3D67"/>
    <w:pPr>
      <w:spacing w:after="0" w:line="240" w:lineRule="auto"/>
    </w:pPr>
    <w:rPr>
      <w:rFonts w:ascii="Arial" w:hAnsi="Arial"/>
    </w:rPr>
  </w:style>
  <w:style w:type="paragraph" w:styleId="Header">
    <w:name w:val="header"/>
    <w:basedOn w:val="Normal"/>
    <w:link w:val="HeaderChar"/>
    <w:uiPriority w:val="99"/>
    <w:unhideWhenUsed/>
    <w:rsid w:val="00212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A7C"/>
    <w:rPr>
      <w:rFonts w:ascii="Arial" w:hAnsi="Arial"/>
    </w:rPr>
  </w:style>
  <w:style w:type="paragraph" w:styleId="Footer">
    <w:name w:val="footer"/>
    <w:basedOn w:val="Normal"/>
    <w:link w:val="FooterChar"/>
    <w:uiPriority w:val="99"/>
    <w:unhideWhenUsed/>
    <w:rsid w:val="00212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A7C"/>
    <w:rPr>
      <w:rFonts w:ascii="Arial" w:hAnsi="Arial"/>
    </w:rPr>
  </w:style>
  <w:style w:type="paragraph" w:styleId="BalloonText">
    <w:name w:val="Balloon Text"/>
    <w:basedOn w:val="Normal"/>
    <w:link w:val="BalloonTextChar"/>
    <w:uiPriority w:val="99"/>
    <w:semiHidden/>
    <w:unhideWhenUsed/>
    <w:rsid w:val="00212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A7C"/>
    <w:rPr>
      <w:rFonts w:ascii="Tahoma" w:hAnsi="Tahoma" w:cs="Tahoma"/>
      <w:sz w:val="16"/>
      <w:szCs w:val="16"/>
    </w:rPr>
  </w:style>
  <w:style w:type="character" w:customStyle="1" w:styleId="Heading5Char">
    <w:name w:val="Heading 5 Char"/>
    <w:basedOn w:val="DefaultParagraphFont"/>
    <w:link w:val="Heading5"/>
    <w:uiPriority w:val="9"/>
    <w:semiHidden/>
    <w:rsid w:val="00EC3A23"/>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EC3A23"/>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EC3A2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3A2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3A23"/>
    <w:rPr>
      <w:rFonts w:asciiTheme="majorHAnsi" w:eastAsiaTheme="majorEastAsia" w:hAnsiTheme="majorHAnsi" w:cstheme="majorBidi"/>
      <w:i/>
      <w:iCs/>
      <w:color w:val="404040" w:themeColor="text1" w:themeTint="BF"/>
      <w:sz w:val="20"/>
      <w:szCs w:val="20"/>
    </w:rPr>
  </w:style>
  <w:style w:type="character" w:styleId="IntenseEmphasis">
    <w:name w:val="Intense Emphasis"/>
    <w:basedOn w:val="DefaultParagraphFont"/>
    <w:uiPriority w:val="21"/>
    <w:qFormat/>
    <w:rsid w:val="00E0513E"/>
    <w:rPr>
      <w:b/>
      <w:bCs/>
      <w:i/>
      <w:iCs/>
    </w:rPr>
  </w:style>
  <w:style w:type="paragraph" w:styleId="Quote">
    <w:name w:val="Quote"/>
    <w:basedOn w:val="Normal"/>
    <w:next w:val="Normal"/>
    <w:link w:val="QuoteChar"/>
    <w:uiPriority w:val="29"/>
    <w:qFormat/>
    <w:rsid w:val="00E0513E"/>
    <w:pPr>
      <w:ind w:left="720"/>
    </w:pPr>
    <w:rPr>
      <w:iCs/>
      <w:sz w:val="20"/>
      <w:szCs w:val="20"/>
    </w:rPr>
  </w:style>
  <w:style w:type="character" w:customStyle="1" w:styleId="QuoteChar">
    <w:name w:val="Quote Char"/>
    <w:basedOn w:val="DefaultParagraphFont"/>
    <w:link w:val="Quote"/>
    <w:uiPriority w:val="29"/>
    <w:rsid w:val="00E0513E"/>
    <w:rPr>
      <w:rFonts w:ascii="Arial" w:hAnsi="Arial"/>
      <w:iCs/>
      <w:sz w:val="20"/>
      <w:szCs w:val="20"/>
    </w:rPr>
  </w:style>
  <w:style w:type="table" w:styleId="TableGrid">
    <w:name w:val="Table Grid"/>
    <w:basedOn w:val="TableNormal"/>
    <w:uiPriority w:val="39"/>
    <w:rsid w:val="00B54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E0513E"/>
    <w:rPr>
      <w:i/>
      <w:iCs/>
    </w:rPr>
  </w:style>
  <w:style w:type="paragraph" w:customStyle="1" w:styleId="Tableheading">
    <w:name w:val="Table heading"/>
    <w:basedOn w:val="Normal"/>
    <w:qFormat/>
    <w:rsid w:val="00DB5025"/>
    <w:pPr>
      <w:spacing w:after="0"/>
      <w:jc w:val="center"/>
    </w:pPr>
    <w:rPr>
      <w:b/>
      <w:color w:val="005D93"/>
    </w:rPr>
  </w:style>
  <w:style w:type="paragraph" w:customStyle="1" w:styleId="Tabletext">
    <w:name w:val="Table text"/>
    <w:basedOn w:val="Normal"/>
    <w:qFormat/>
    <w:rsid w:val="00CA0A36"/>
    <w:pPr>
      <w:spacing w:after="180" w:line="240" w:lineRule="auto"/>
    </w:pPr>
    <w:rPr>
      <w:sz w:val="20"/>
      <w:szCs w:val="20"/>
    </w:rPr>
  </w:style>
  <w:style w:type="paragraph" w:customStyle="1" w:styleId="paragraph">
    <w:name w:val="paragraph"/>
    <w:basedOn w:val="Normal"/>
    <w:rsid w:val="008321D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8321D3"/>
  </w:style>
  <w:style w:type="character" w:customStyle="1" w:styleId="eop">
    <w:name w:val="eop"/>
    <w:basedOn w:val="DefaultParagraphFont"/>
    <w:rsid w:val="008321D3"/>
  </w:style>
  <w:style w:type="character" w:customStyle="1" w:styleId="spellingerror">
    <w:name w:val="spellingerror"/>
    <w:basedOn w:val="DefaultParagraphFont"/>
    <w:rsid w:val="008321D3"/>
  </w:style>
  <w:style w:type="paragraph" w:styleId="Caption">
    <w:name w:val="caption"/>
    <w:basedOn w:val="Normal"/>
    <w:next w:val="Normal"/>
    <w:uiPriority w:val="35"/>
    <w:semiHidden/>
    <w:unhideWhenUsed/>
    <w:qFormat/>
    <w:rsid w:val="00393F65"/>
    <w:pPr>
      <w:spacing w:after="200" w:line="240" w:lineRule="auto"/>
    </w:pPr>
    <w:rPr>
      <w:i/>
      <w:iCs/>
      <w:color w:val="44546A" w:themeColor="text2"/>
      <w:sz w:val="18"/>
      <w:szCs w:val="18"/>
    </w:rPr>
  </w:style>
  <w:style w:type="paragraph" w:styleId="TOCHeading">
    <w:name w:val="TOC Heading"/>
    <w:basedOn w:val="Heading1"/>
    <w:next w:val="Normal"/>
    <w:uiPriority w:val="39"/>
    <w:semiHidden/>
    <w:unhideWhenUsed/>
    <w:qFormat/>
    <w:rsid w:val="00393F65"/>
    <w:pPr>
      <w:numPr>
        <w:numId w:val="0"/>
      </w:numPr>
      <w:spacing w:before="240" w:after="0" w:line="276" w:lineRule="auto"/>
      <w:contextualSpacing w:val="0"/>
      <w:outlineLvl w:val="9"/>
    </w:pPr>
    <w:rPr>
      <w:rFonts w:asciiTheme="majorHAnsi" w:hAnsiTheme="majorHAnsi" w:cstheme="majorBidi"/>
      <w:b w:val="0"/>
      <w:bCs w:val="0"/>
      <w:caps w:val="0"/>
      <w:color w:val="2E74B5" w:themeColor="accent1" w:themeShade="BF"/>
      <w:sz w:val="32"/>
      <w:szCs w:val="32"/>
    </w:rPr>
  </w:style>
  <w:style w:type="paragraph" w:styleId="CommentText">
    <w:name w:val="annotation text"/>
    <w:basedOn w:val="Normal"/>
    <w:link w:val="CommentTextChar"/>
    <w:uiPriority w:val="99"/>
    <w:semiHidden/>
    <w:unhideWhenUsed/>
    <w:rsid w:val="000055AF"/>
    <w:pPr>
      <w:spacing w:line="240" w:lineRule="auto"/>
    </w:pPr>
    <w:rPr>
      <w:sz w:val="20"/>
      <w:szCs w:val="20"/>
    </w:rPr>
  </w:style>
  <w:style w:type="character" w:customStyle="1" w:styleId="CommentTextChar">
    <w:name w:val="Comment Text Char"/>
    <w:basedOn w:val="DefaultParagraphFont"/>
    <w:link w:val="CommentText"/>
    <w:uiPriority w:val="99"/>
    <w:semiHidden/>
    <w:rsid w:val="000055AF"/>
    <w:rPr>
      <w:rFonts w:ascii="Arial" w:hAnsi="Arial"/>
      <w:sz w:val="20"/>
      <w:szCs w:val="20"/>
    </w:rPr>
  </w:style>
  <w:style w:type="character" w:styleId="CommentReference">
    <w:name w:val="annotation reference"/>
    <w:basedOn w:val="DefaultParagraphFont"/>
    <w:uiPriority w:val="99"/>
    <w:semiHidden/>
    <w:unhideWhenUsed/>
    <w:rsid w:val="000055A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34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rkins\Desktop\NAPLAN%20Item%20Development\Clarifications%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7617a46b5024bd5af959b3036b162ea xmlns="45214841-d179-4c24-9a02-a1acd0d71600">
      <Terms xmlns="http://schemas.microsoft.com/office/infopath/2007/PartnerControls">
        <TermInfo xmlns="http://schemas.microsoft.com/office/infopath/2007/PartnerControls">
          <TermName xmlns="http://schemas.microsoft.com/office/infopath/2007/PartnerControls">Branding</TermName>
          <TermId xmlns="http://schemas.microsoft.com/office/infopath/2007/PartnerControls">5ed93237-06bb-45c7-bd7f-e7e6470e701a</TermId>
        </TermInfo>
      </Terms>
    </p7617a46b5024bd5af959b3036b162ea>
    <l9457d2d0f024b668a15488d0cd85765 xmlns="45214841-d179-4c24-9a02-a1acd0d71600">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391dbcbd-1b89-42ff-b9d2-0b7346319a41</TermId>
        </TermInfo>
      </Terms>
    </l9457d2d0f024b668a15488d0cd85765>
    <ac_group xmlns="e44be4b9-3863-4a40-b4c6-aeb3ef538c55" xsi:nil="true"/>
    <ac_Classification xmlns="e44be4b9-3863-4a40-b4c6-aeb3ef538c55" xsi:nil="true"/>
    <h4cc32ef43a24a1e89c88c0872b4f0b3 xmlns="6527affb-65bc-488a-a6d2-a176a88021df">
      <Terms xmlns="http://schemas.microsoft.com/office/infopath/2007/PartnerControls"/>
    </h4cc32ef43a24a1e89c88c0872b4f0b3>
    <ac_documentnumber xmlns="e44be4b9-3863-4a40-b4c6-aeb3ef538c55" xsi:nil="true"/>
    <TaxCatchAll xmlns="e44be4b9-3863-4a40-b4c6-aeb3ef538c55">
      <Value>93</Value>
      <Value>147</Value>
    </TaxCatchAll>
    <DocumentSetDescription xmlns="http://schemas.microsoft.com/sharepoint/v3" xsi:nil="true"/>
    <SharedWithUsers xmlns="e44be4b9-3863-4a40-b4c6-aeb3ef538c55">
      <UserInfo>
        <DisplayName>Cohen, Anna</DisplayName>
        <AccountId>89</AccountId>
        <AccountType/>
      </UserInfo>
    </SharedWithUsers>
    <lcf76f155ced4ddcb4097134ff3c332f xmlns="6a7bdaff-5046-41db-bd6c-f5ca8ed42b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24467BEAD0628F41A199AC3E38522D07" ma:contentTypeVersion="49" ma:contentTypeDescription="" ma:contentTypeScope="" ma:versionID="60275b0273b85b1c433c4b26b103a18a">
  <xsd:schema xmlns:xsd="http://www.w3.org/2001/XMLSchema" xmlns:xs="http://www.w3.org/2001/XMLSchema" xmlns:p="http://schemas.microsoft.com/office/2006/metadata/properties" xmlns:ns1="http://schemas.microsoft.com/sharepoint/v3" xmlns:ns2="e44be4b9-3863-4a40-b4c6-aeb3ef538c55" xmlns:ns3="45214841-d179-4c24-9a02-a1acd0d71600" xmlns:ns4="6527affb-65bc-488a-a6d2-a176a88021df" xmlns:ns5="6a7bdaff-5046-41db-bd6c-f5ca8ed42bd2" targetNamespace="http://schemas.microsoft.com/office/2006/metadata/properties" ma:root="true" ma:fieldsID="0cadb49188eb3341ee00c3d6765d1a9e" ns1:_="" ns2:_="" ns3:_="" ns4:_="" ns5:_="">
    <xsd:import namespace="http://schemas.microsoft.com/sharepoint/v3"/>
    <xsd:import namespace="e44be4b9-3863-4a40-b4c6-aeb3ef538c55"/>
    <xsd:import namespace="45214841-d179-4c24-9a02-a1acd0d71600"/>
    <xsd:import namespace="6527affb-65bc-488a-a6d2-a176a88021df"/>
    <xsd:import namespace="6a7bdaff-5046-41db-bd6c-f5ca8ed42bd2"/>
    <xsd:element name="properties">
      <xsd:complexType>
        <xsd:sequence>
          <xsd:element name="documentManagement">
            <xsd:complexType>
              <xsd:all>
                <xsd:element ref="ns3:l9457d2d0f024b668a15488d0cd85765" minOccurs="0"/>
                <xsd:element ref="ns2:TaxCatchAll" minOccurs="0"/>
                <xsd:element ref="ns2:TaxCatchAllLabel" minOccurs="0"/>
                <xsd:element ref="ns3:p7617a46b5024bd5af959b3036b162ea" minOccurs="0"/>
                <xsd:element ref="ns4:h4cc32ef43a24a1e89c88c0872b4f0b3" minOccurs="0"/>
                <xsd:element ref="ns2:ac_Classification" minOccurs="0"/>
                <xsd:element ref="ns2:ac_documentnumber" minOccurs="0"/>
                <xsd:element ref="ns2:ac_group" minOccurs="0"/>
                <xsd:element ref="ns1:DocumentSetDescription" minOccurs="0"/>
                <xsd:element ref="ns5:MediaServiceMetadata" minOccurs="0"/>
                <xsd:element ref="ns5:MediaServiceFastMetadata" minOccurs="0"/>
                <xsd:element ref="ns2:SharedWithUsers" minOccurs="0"/>
                <xsd:element ref="ns2:SharedWithDetails" minOccurs="0"/>
                <xsd:element ref="ns2:RevIMUniqueID"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be4b9-3863-4a40-b4c6-aeb3ef538c5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14a180f-8a68-4901-a982-ab6dbe3bd793}" ma:internalName="TaxCatchAll" ma:showField="CatchAllData"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14a180f-8a68-4901-a982-ab6dbe3bd793}" ma:internalName="TaxCatchAllLabel" ma:readOnly="true" ma:showField="CatchAllDataLabel"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ac_Classification" ma:index="17" nillable="true" ma:displayName="Classification" ma:internalName="ac_Classification">
      <xsd:simpleType>
        <xsd:restriction base="dms:Text">
          <xsd:maxLength value="255"/>
        </xsd:restriction>
      </xsd:simpleType>
    </xsd:element>
    <xsd:element name="ac_documentnumber" ma:index="18" nillable="true" ma:displayName="Document Number" ma:internalName="ac_documentnumber">
      <xsd:simpleType>
        <xsd:restriction base="dms:Text">
          <xsd:maxLength value="255"/>
        </xsd:restriction>
      </xsd:simpleType>
    </xsd:element>
    <xsd:element name="ac_group" ma:index="19" nillable="true" ma:displayName="Group" ma:internalName="ac_group">
      <xsd:simpleType>
        <xsd:restriction base="dms:Text">
          <xsd:maxLength value="255"/>
        </xsd:restrictio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element name="RevIMUniqueID" ma:index="28" nillable="true" ma:displayName="Document Number" ma:internalName="RevIMUniqu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14841-d179-4c24-9a02-a1acd0d71600" elementFormDefault="qualified">
    <xsd:import namespace="http://schemas.microsoft.com/office/2006/documentManagement/types"/>
    <xsd:import namespace="http://schemas.microsoft.com/office/infopath/2007/PartnerControls"/>
    <xsd:element name="l9457d2d0f024b668a15488d0cd85765" ma:index="8" ma:taxonomy="true" ma:internalName="l9457d2d0f024b668a15488d0cd85765" ma:taxonomyFieldName="ac_documenttype" ma:displayName="Document Type" ma:default="" ma:fieldId="{59457d2d-0f02-4b66-8a15-488d0cd85765}"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7617a46b5024bd5af959b3036b162ea" ma:index="12" ma:taxonomy="true" ma:internalName="p7617a46b5024bd5af959b3036b162ea" ma:taxonomyFieldName="ac_Activity" ma:displayName="Activity" ma:default="" ma:fieldId="{97617a46-b502-4bd5-af95-9b3036b162ea}" ma:sspId="13422630-9eec-4f54-8260-f622dc549660" ma:termSetId="4d94a6a9-32d8-4602-abc1-58a3e66b06f6" ma:anchorId="d766b358-8515-4dad-b99d-e3bdb73f13c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27affb-65bc-488a-a6d2-a176a88021df" elementFormDefault="qualified">
    <xsd:import namespace="http://schemas.microsoft.com/office/2006/documentManagement/types"/>
    <xsd:import namespace="http://schemas.microsoft.com/office/infopath/2007/PartnerControls"/>
    <xsd:element name="h4cc32ef43a24a1e89c88c0872b4f0b3" ma:index="15" nillable="true" ma:taxonomy="true" ma:internalName="h4cc32ef43a24a1e89c88c0872b4f0b3" ma:taxonomyFieldName="ac_keywords" ma:displayName="Keyword" ma:default="" ma:fieldId="{14cc32ef-43a2-4a1e-89c8-8c0872b4f0b3}" ma:sspId="13422630-9eec-4f54-8260-f622dc549660" ma:termSetId="4d94a6a9-32d8-4602-abc1-58a3e66b06f6" ma:anchorId="9530fc1f-8efa-4429-95e1-c7881984da1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7bdaff-5046-41db-bd6c-f5ca8ed42bd2"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7A52CA-C962-40B5-9849-03ED6CBD12A1}">
  <ds:schemaRefs>
    <ds:schemaRef ds:uri="http://schemas.microsoft.com/office/2006/metadata/properties"/>
    <ds:schemaRef ds:uri="http://schemas.microsoft.com/office/infopath/2007/PartnerControls"/>
    <ds:schemaRef ds:uri="45214841-d179-4c24-9a02-a1acd0d71600"/>
    <ds:schemaRef ds:uri="e44be4b9-3863-4a40-b4c6-aeb3ef538c55"/>
    <ds:schemaRef ds:uri="6527affb-65bc-488a-a6d2-a176a88021df"/>
    <ds:schemaRef ds:uri="http://schemas.microsoft.com/sharepoint/v3"/>
    <ds:schemaRef ds:uri="6a7bdaff-5046-41db-bd6c-f5ca8ed42bd2"/>
  </ds:schemaRefs>
</ds:datastoreItem>
</file>

<file path=customXml/itemProps2.xml><?xml version="1.0" encoding="utf-8"?>
<ds:datastoreItem xmlns:ds="http://schemas.openxmlformats.org/officeDocument/2006/customXml" ds:itemID="{7C671F74-3BDE-4D39-90BE-B486D5C02685}">
  <ds:schemaRefs>
    <ds:schemaRef ds:uri="http://schemas.microsoft.com/sharepoint/v3/contenttype/forms"/>
  </ds:schemaRefs>
</ds:datastoreItem>
</file>

<file path=customXml/itemProps3.xml><?xml version="1.0" encoding="utf-8"?>
<ds:datastoreItem xmlns:ds="http://schemas.openxmlformats.org/officeDocument/2006/customXml" ds:itemID="{EBBCA8FA-ED35-48CA-93A9-4B6A796D2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be4b9-3863-4a40-b4c6-aeb3ef538c55"/>
    <ds:schemaRef ds:uri="45214841-d179-4c24-9a02-a1acd0d71600"/>
    <ds:schemaRef ds:uri="6527affb-65bc-488a-a6d2-a176a88021df"/>
    <ds:schemaRef ds:uri="6a7bdaff-5046-41db-bd6c-f5ca8ed42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Clarifications 1</Template>
  <TotalTime>7</TotalTime>
  <Pages>14</Pages>
  <Words>3753</Words>
  <Characters>21396</Characters>
  <Application>Microsoft Office Word</Application>
  <DocSecurity>0</DocSecurity>
  <Lines>178</Lines>
  <Paragraphs>50</Paragraphs>
  <ScaleCrop>false</ScaleCrop>
  <Company/>
  <LinksUpToDate>false</LinksUpToDate>
  <CharactersWithSpaces>25099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09_actions_list_2017_ACARA.</dc:title>
  <dc:subject/>
  <dc:creator>Larkins, Adam</dc:creator>
  <cp:keywords/>
  <cp:lastModifiedBy>Larkins, Adam</cp:lastModifiedBy>
  <cp:revision>8</cp:revision>
  <dcterms:created xsi:type="dcterms:W3CDTF">2026-10-28T05:20:00Z</dcterms:created>
  <dcterms:modified xsi:type="dcterms:W3CDTF">2026-10-28T05:30:00Z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0x0101007A9D79ACD8B79D48A9A515D2FD0585480024467BEAD0628F41A199AC3E38522D07</vt:lpwstr>
  </property>
  <property fmtid="{D5CDD505-2E9C-101B-9397-08002B2CF9AE}" pid="3" name="Template Category">
    <vt:lpwstr>40;#Communication|27ead0d5-ce2f-4882-a3cc-7416bc0d1bb1</vt:lpwstr>
  </property>
  <property fmtid="{D5CDD505-2E9C-101B-9397-08002B2CF9AE}" pid="4" name="ac_Activity">
    <vt:lpwstr>147;#Branding|5ed93237-06bb-45c7-bd7f-e7e6470e701a</vt:lpwstr>
  </property>
  <property fmtid="{D5CDD505-2E9C-101B-9397-08002B2CF9AE}" pid="5" name="ac_keywords">
    <vt:lpwstr/>
  </property>
  <property fmtid="{D5CDD505-2E9C-101B-9397-08002B2CF9AE}" pid="6" name="ac_documenttype">
    <vt:lpwstr>93;#Template|391dbcbd-1b89-42ff-b9d2-0b7346319a41</vt:lpwstr>
  </property>
  <property fmtid="{D5CDD505-2E9C-101B-9397-08002B2CF9AE}" pid="7" name="ClassificationContentMarkingHeaderShapeIds">
    <vt:lpwstr>1,2,4</vt:lpwstr>
  </property>
  <property fmtid="{D5CDD505-2E9C-101B-9397-08002B2CF9AE}" pid="8" name="ClassificationContentMarkingHeaderFontProps">
    <vt:lpwstr>#000000,12,Calibri</vt:lpwstr>
  </property>
  <property fmtid="{D5CDD505-2E9C-101B-9397-08002B2CF9AE}" pid="9" name="ClassificationContentMarkingHeaderText">
    <vt:lpwstr>OFFICIAL</vt:lpwstr>
  </property>
  <property fmtid="{D5CDD505-2E9C-101B-9397-08002B2CF9AE}" pid="10" name="MSIP_Label_513c403f-62ba-48c5-b221-2519db7cca50_Enabled">
    <vt:lpwstr>true</vt:lpwstr>
  </property>
  <property fmtid="{D5CDD505-2E9C-101B-9397-08002B2CF9AE}" pid="11" name="MSIP_Label_513c403f-62ba-48c5-b221-2519db7cca50_SetDate">
    <vt:lpwstr>2023-08-23T23:50:09Z</vt:lpwstr>
  </property>
  <property fmtid="{D5CDD505-2E9C-101B-9397-08002B2CF9AE}" pid="12" name="MSIP_Label_513c403f-62ba-48c5-b221-2519db7cca50_Method">
    <vt:lpwstr>Standard</vt:lpwstr>
  </property>
  <property fmtid="{D5CDD505-2E9C-101B-9397-08002B2CF9AE}" pid="13" name="MSIP_Label_513c403f-62ba-48c5-b221-2519db7cca50_Name">
    <vt:lpwstr>OFFICIAL</vt:lpwstr>
  </property>
  <property fmtid="{D5CDD505-2E9C-101B-9397-08002B2CF9AE}" pid="14" name="MSIP_Label_513c403f-62ba-48c5-b221-2519db7cca50_SiteId">
    <vt:lpwstr>6cf76a3a-a824-4270-9200-3d71673ec678</vt:lpwstr>
  </property>
  <property fmtid="{D5CDD505-2E9C-101B-9397-08002B2CF9AE}" pid="15" name="MSIP_Label_513c403f-62ba-48c5-b221-2519db7cca50_ActionId">
    <vt:lpwstr>2d1bb6c3-f9dd-4881-9d41-a3e5c507d308</vt:lpwstr>
  </property>
  <property fmtid="{D5CDD505-2E9C-101B-9397-08002B2CF9AE}" pid="16" name="MSIP_Label_513c403f-62ba-48c5-b221-2519db7cca50_ContentBits">
    <vt:lpwstr>1</vt:lpwstr>
  </property>
  <property fmtid="{D5CDD505-2E9C-101B-9397-08002B2CF9AE}" pid="17" name="MediaServiceImageTags">
    <vt:lpwstr/>
  </property>
  <property fmtid="{D5CDD505-2E9C-101B-9397-08002B2CF9AE}" pid="18" name="docLang">
    <vt:lpwstr>en</vt:lpwstr>
  </property>
</Properties>
</file>